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附件3：采购需求概况</w:t>
      </w:r>
    </w:p>
    <w:p>
      <w:pPr>
        <w:numPr>
          <w:ilvl w:val="0"/>
          <w:numId w:val="1"/>
        </w:numPr>
        <w:spacing w:before="312" w:beforeLines="100" w:after="156" w:afterLines="50" w:line="360" w:lineRule="auto"/>
        <w:outlineLvl w:val="2"/>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技术要求</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服务内容：</w:t>
      </w:r>
      <w:r>
        <w:rPr>
          <w:rFonts w:hint="eastAsia" w:ascii="仿宋" w:hAnsi="仿宋" w:eastAsia="仿宋" w:cs="仿宋"/>
          <w:color w:val="000000" w:themeColor="text1"/>
          <w:sz w:val="32"/>
          <w:szCs w:val="32"/>
          <w:lang w:val="en-US" w:eastAsia="zh-CN"/>
          <w14:textFill>
            <w14:solidFill>
              <w14:schemeClr w14:val="tx1"/>
            </w14:solidFill>
          </w14:textFill>
        </w:rPr>
        <w:t>中山市港口医院1台</w:t>
      </w:r>
      <w:r>
        <w:rPr>
          <w:rFonts w:hint="eastAsia" w:ascii="仿宋" w:hAnsi="仿宋" w:eastAsia="仿宋" w:cs="仿宋"/>
          <w:color w:val="000000" w:themeColor="text1"/>
          <w:sz w:val="32"/>
          <w:szCs w:val="32"/>
          <w14:textFill>
            <w14:solidFill>
              <w14:schemeClr w14:val="tx1"/>
            </w14:solidFill>
          </w14:textFill>
        </w:rPr>
        <w:t xml:space="preserve">东软64排螺旋CT </w:t>
      </w:r>
      <w:r>
        <w:rPr>
          <w:rFonts w:hint="eastAsia" w:ascii="仿宋" w:hAnsi="仿宋" w:eastAsia="仿宋" w:cs="仿宋"/>
          <w:color w:val="000000" w:themeColor="text1"/>
          <w:sz w:val="32"/>
          <w:szCs w:val="32"/>
          <w:lang w:val="en-US" w:eastAsia="zh-CN"/>
          <w14:textFill>
            <w14:solidFill>
              <w14:schemeClr w14:val="tx1"/>
            </w14:solidFill>
          </w14:textFill>
        </w:rPr>
        <w:t>机</w:t>
      </w:r>
      <w:r>
        <w:rPr>
          <w:rFonts w:hint="eastAsia" w:ascii="仿宋" w:hAnsi="仿宋" w:eastAsia="仿宋" w:cs="仿宋"/>
          <w:color w:val="000000" w:themeColor="text1"/>
          <w:sz w:val="32"/>
          <w:szCs w:val="32"/>
          <w14:textFill>
            <w14:solidFill>
              <w14:schemeClr w14:val="tx1"/>
            </w14:solidFill>
          </w14:textFill>
        </w:rPr>
        <w:t>（型号：NeuVizPrime）整机全保服务，保修范围包含CT的扫描架、扫描床、操作台（含计算机系统）,</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14:textFill>
            <w14:solidFill>
              <w14:schemeClr w14:val="tx1"/>
            </w14:solidFill>
          </w14:textFill>
        </w:rPr>
        <w:t>合同有效期内,对承保设备球管（合同签订起90万秒次内）负责提供免费维修或免费更换，保证甲方球管使用需求。(保修范围不含激光相机、稳压电源、洗片机等为CT配套的外围设备)。维修包括预防性保养、排除故障以及为保障机器的功能实施的技术改进，提供不限次数的人工上门服务、远程指导服务与配件更换服务。</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设备要求：</w:t>
      </w:r>
      <w:r>
        <w:rPr>
          <w:rFonts w:hint="eastAsia" w:ascii="仿宋" w:hAnsi="仿宋" w:eastAsia="仿宋" w:cs="仿宋"/>
          <w:color w:val="000000" w:themeColor="text1"/>
          <w:sz w:val="32"/>
          <w:szCs w:val="32"/>
          <w:lang w:eastAsia="zh-Hans"/>
          <w14:textFill>
            <w14:solidFill>
              <w14:schemeClr w14:val="tx1"/>
            </w14:solidFill>
          </w14:textFill>
        </w:rPr>
        <w:t>具有履行维保服务的相关设备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能</w:t>
      </w:r>
      <w:r>
        <w:rPr>
          <w:rFonts w:hint="eastAsia" w:ascii="仿宋" w:hAnsi="仿宋" w:eastAsia="仿宋" w:cs="仿宋"/>
          <w:color w:val="000000" w:themeColor="text1"/>
          <w:sz w:val="32"/>
          <w:szCs w:val="32"/>
          <w14:textFill>
            <w14:solidFill>
              <w14:schemeClr w14:val="tx1"/>
            </w14:solidFill>
          </w14:textFill>
        </w:rPr>
        <w:t>满足维保期内</w:t>
      </w:r>
      <w:r>
        <w:rPr>
          <w:rFonts w:hint="eastAsia" w:ascii="仿宋" w:hAnsi="仿宋" w:eastAsia="仿宋" w:cs="仿宋"/>
          <w:color w:val="000000" w:themeColor="text1"/>
          <w:sz w:val="32"/>
          <w:szCs w:val="32"/>
          <w:lang w:eastAsia="zh-Hans"/>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备件供货。</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Hans"/>
          <w14:textFill>
            <w14:solidFill>
              <w14:schemeClr w14:val="tx1"/>
            </w14:solidFill>
          </w14:textFill>
        </w:rPr>
        <w:t>为保修合同涵盖的设备正常工作而提供所有的必要零件。</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（2）备件到货时间不超过48小时。</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eastAsia="zh-Hans"/>
          <w14:textFill>
            <w14:solidFill>
              <w14:schemeClr w14:val="tx1"/>
            </w14:solidFill>
          </w14:textFill>
        </w:rPr>
        <w:t>对产品具有持续提供平台升级、软件更新的能力。能及时获取并提供全套完整的原厂系统软硬件改版措施，保修期内免费提供设备（含独立工作站）的系统软件技术补丁和技术支持。</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eastAsia="zh-Hans"/>
          <w14:textFill>
            <w14:solidFill>
              <w14:schemeClr w14:val="tx1"/>
            </w14:solidFill>
          </w14:textFill>
        </w:rPr>
        <w:t>提供远程诊断功能，明确远程的实施方案，作出提取设备的故障信息时不涉及病人数据的相关信息，确保病人数据安全的书面承诺。</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（5）保障备件的供应，服务供应商全国不少于3个仓库，广东省内有仓库优先，以保障货物的及时供应（提供证明文件）</w:t>
      </w:r>
    </w:p>
    <w:p>
      <w:pPr>
        <w:numPr>
          <w:ilvl w:val="0"/>
          <w:numId w:val="2"/>
        </w:numPr>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全年、整机维保含以下内容：</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（1）工时全保。</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（2）主机配件全保。</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（3）高压发生器全保。</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（4）原厂后处理工作站全保。</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预防性保养：每年两次。每六个月（或根据采购人要求）进行一次系统性的精细保养，其中包括设备校准，性能测试和调整，必要的机械或电气检查以及设备清洁，排除一切安全隐患及潜在的故障因素，软件系统免费升级维护（提供相关承诺函）。</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（6）球管：所提供保修更换的球管需符合国家食品药品监督管理局原机整机注册证要求，必须是设备主机生产厂家同规格同型号的球管，并提供</w:t>
      </w:r>
      <w:r>
        <w:rPr>
          <w:rFonts w:hint="eastAsia" w:ascii="仿宋" w:hAnsi="仿宋" w:eastAsia="仿宋" w:cs="仿宋"/>
          <w:color w:val="000000" w:themeColor="text1"/>
          <w:sz w:val="32"/>
          <w:szCs w:val="32"/>
          <w:lang w:val="en-US" w:eastAsia="zh-CN"/>
          <w14:textFill>
            <w14:solidFill>
              <w14:schemeClr w14:val="tx1"/>
            </w14:solidFill>
          </w14:textFill>
        </w:rPr>
        <w:t>球管</w:t>
      </w:r>
      <w:r>
        <w:rPr>
          <w:rFonts w:hint="eastAsia" w:ascii="仿宋" w:hAnsi="仿宋" w:eastAsia="仿宋" w:cs="仿宋"/>
          <w:color w:val="000000" w:themeColor="text1"/>
          <w:sz w:val="32"/>
          <w:szCs w:val="32"/>
          <w14:textFill>
            <w14:solidFill>
              <w14:schemeClr w14:val="tx1"/>
            </w14:solidFill>
          </w14:textFill>
        </w:rPr>
        <w:t>合法来源证明</w:t>
      </w:r>
      <w:r>
        <w:rPr>
          <w:rFonts w:hint="eastAsia" w:ascii="仿宋" w:hAnsi="仿宋" w:eastAsia="仿宋" w:cs="仿宋"/>
          <w:color w:val="000000" w:themeColor="text1"/>
          <w:sz w:val="32"/>
          <w:szCs w:val="32"/>
          <w:lang w:val="en-US" w:eastAsia="zh-CN"/>
          <w14:textFill>
            <w14:solidFill>
              <w14:schemeClr w14:val="tx1"/>
            </w14:solidFill>
          </w14:textFill>
        </w:rPr>
        <w:t>文件（</w:t>
      </w:r>
      <w:r>
        <w:rPr>
          <w:rFonts w:hint="eastAsia" w:ascii="仿宋" w:hAnsi="仿宋" w:eastAsia="仿宋" w:cs="仿宋"/>
          <w:color w:val="000000" w:themeColor="text1"/>
          <w:sz w:val="32"/>
          <w:szCs w:val="32"/>
          <w14:textFill>
            <w14:solidFill>
              <w14:schemeClr w14:val="tx1"/>
            </w14:solidFill>
          </w14:textFill>
        </w:rPr>
        <w:t>球管厂家授权文件</w:t>
      </w:r>
      <w:r>
        <w:rPr>
          <w:rFonts w:hint="eastAsia" w:ascii="仿宋" w:hAnsi="仿宋" w:eastAsia="仿宋" w:cs="仿宋"/>
          <w:color w:val="000000" w:themeColor="text1"/>
          <w:sz w:val="32"/>
          <w:szCs w:val="32"/>
          <w:lang w:val="en-US" w:eastAsia="zh-CN"/>
          <w14:textFill>
            <w14:solidFill>
              <w14:schemeClr w14:val="tx1"/>
            </w14:solidFill>
          </w14:textFill>
        </w:rPr>
        <w:t>等）</w:t>
      </w:r>
      <w:bookmarkStart w:id="0" w:name="_GoBack"/>
      <w:bookmarkEnd w:id="0"/>
      <w:r>
        <w:rPr>
          <w:rFonts w:hint="eastAsia"/>
          <w:lang w:eastAsia="zh-CN"/>
        </w:rPr>
        <w:t>。</w:t>
      </w:r>
      <w:r>
        <w:rPr>
          <w:rFonts w:hint="eastAsia" w:ascii="仿宋" w:hAnsi="仿宋" w:eastAsia="仿宋" w:cs="仿宋"/>
          <w:color w:val="000000" w:themeColor="text1"/>
          <w:sz w:val="32"/>
          <w:szCs w:val="32"/>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（7）每年提供一次设备运行良好报告，包括运行状态、故障频率、注意事项等内容。</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（8）为保修合同涵盖的设备提供现场的服务支持，维修工时不限次数及时间，全天二十四小时全年节假日无休（提供相关承诺函）。</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（9）服务热线技术支持专家将为保修合同涵盖的产品提供全年24小时*365天400免费报修电话及远程维修技术支持。</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开机时间保障：保障院方CT机全年开机保障率不少于95%。按全年365天计算，达不到345天，则不足天数按两倍免费延长保修时间。</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配件：所更换的备件必须是原厂认证合格的零配件,满足设备运行要求,不会给设备带来危害且备件来源合法。</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响应时间保证：供应商在接到院方的报修电话后，一小时内响应，首先通过电话协助指导解决问题，如问题未得以解决，供应商安排工程师24小时内到达现场进行故障诊断和排除，因天气、交通等特殊情况无法按要求到现场，需要跟提前与采购人沟通，并取得采购人确认。</w:t>
      </w:r>
    </w:p>
    <w:p>
      <w:pPr>
        <w:numPr>
          <w:ilvl w:val="0"/>
          <w:numId w:val="2"/>
        </w:numPr>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每次维修情况，应向当班医生和科主任做简单说明，告知本次故障原因、维修过程、均需提供统一的维修工单-《服务报告》，供院方留存。</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质量认证：服务商应提供质量管理体系认证证书。</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能合法获得有效期内的原厂故障诊断软件及诊断，能提供服务密码，并保证不违反国家有关知识产权的法律规定。提供设备主机生产商盖章声明函，原件备查</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服务机构需配备本次保修服务中经过原厂认证的工程师≥3 名，提供工程师的姓名、电话、原厂培训认证证书（原件备查）。且指定1名售后服务负责人长期协助采购人对设备应用的管理。</w:t>
      </w:r>
    </w:p>
    <w:p>
      <w:pPr>
        <w:numPr>
          <w:ilvl w:val="0"/>
          <w:numId w:val="2"/>
        </w:numPr>
        <w:spacing w:line="360" w:lineRule="auto"/>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为提高应急反应能力和医疗设备在重大故障时的维修效率，供应商需提供应急预案。</w:t>
      </w:r>
    </w:p>
    <w:p>
      <w:pPr>
        <w:spacing w:before="312" w:beforeLines="100" w:after="156" w:afterLines="50" w:line="360" w:lineRule="auto"/>
        <w:outlineLvl w:val="2"/>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、采购项目商务要求</w:t>
      </w:r>
    </w:p>
    <w:p>
      <w:pPr>
        <w:numPr>
          <w:ilvl w:val="0"/>
          <w:numId w:val="3"/>
        </w:numPr>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价要求：CT整机保修包含设备的人工费、差旅费、运输费和保修范围内的所有备件。响应供应商必须自行考虑在本项目实施期间的一切可能产生的费用，在项目的实施过程中，采购人除了支付合同规定的款项外，一切合同规定外的费用将拒绝支付。</w:t>
      </w:r>
    </w:p>
    <w:p>
      <w:pPr>
        <w:numPr>
          <w:ilvl w:val="0"/>
          <w:numId w:val="3"/>
        </w:numPr>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服务地点：中山港口医院（采购人指定的地点）。</w:t>
      </w:r>
    </w:p>
    <w:p>
      <w:pPr>
        <w:numPr>
          <w:ilvl w:val="0"/>
          <w:numId w:val="3"/>
        </w:numPr>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服务期：整机保修自合同签订之日起3年。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BB489E2C-9109-431F-9765-B4C2AD11B2C3}"/>
  </w:font>
  <w:font w:name="方正公文小标宋">
    <w:panose1 w:val="02000500000000000000"/>
    <w:charset w:val="86"/>
    <w:family w:val="auto"/>
    <w:pitch w:val="default"/>
    <w:sig w:usb0="A00002BF" w:usb1="38CF7CFA" w:usb2="00000016" w:usb3="00000000" w:csb0="00040001" w:csb1="00000000"/>
    <w:embedRegular r:id="rId2" w:fontKey="{8012ACA3-7BBB-413F-8488-CFD024178E7C}"/>
  </w:font>
  <w:font w:name="仿宋">
    <w:panose1 w:val="02010609060101010101"/>
    <w:charset w:val="86"/>
    <w:family w:val="auto"/>
    <w:pitch w:val="default"/>
    <w:sig w:usb0="800002BF" w:usb1="38CF7CFA" w:usb2="00000016" w:usb3="00000000" w:csb0="00040001" w:csb1="00000000"/>
    <w:embedRegular r:id="rId3" w:fontKey="{77B730BE-978F-4BA0-A52C-DB5C8D56A0D6}"/>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734AB"/>
    <w:multiLevelType w:val="singleLevel"/>
    <w:tmpl w:val="A37734AB"/>
    <w:lvl w:ilvl="0" w:tentative="0">
      <w:start w:val="1"/>
      <w:numFmt w:val="decimal"/>
      <w:suff w:val="nothing"/>
      <w:lvlText w:val="%1．"/>
      <w:lvlJc w:val="left"/>
      <w:pPr>
        <w:ind w:left="0" w:firstLine="400"/>
      </w:pPr>
      <w:rPr>
        <w:rFonts w:hint="default"/>
      </w:rPr>
    </w:lvl>
  </w:abstractNum>
  <w:abstractNum w:abstractNumId="1">
    <w:nsid w:val="191F6B0A"/>
    <w:multiLevelType w:val="singleLevel"/>
    <w:tmpl w:val="191F6B0A"/>
    <w:lvl w:ilvl="0" w:tentative="0">
      <w:start w:val="1"/>
      <w:numFmt w:val="decimal"/>
      <w:suff w:val="nothing"/>
      <w:lvlText w:val="%1．"/>
      <w:lvlJc w:val="left"/>
      <w:pPr>
        <w:ind w:left="0" w:firstLine="400"/>
      </w:pPr>
      <w:rPr>
        <w:rFonts w:hint="default"/>
      </w:rPr>
    </w:lvl>
  </w:abstractNum>
  <w:abstractNum w:abstractNumId="2">
    <w:nsid w:val="784AB868"/>
    <w:multiLevelType w:val="singleLevel"/>
    <w:tmpl w:val="784AB86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jJkODkwMzNiZjdhMGIzOWMzMjFjNTU1ZGQ4NWQifQ=="/>
  </w:docVars>
  <w:rsids>
    <w:rsidRoot w:val="005D25C5"/>
    <w:rsid w:val="000E6C09"/>
    <w:rsid w:val="00152AC2"/>
    <w:rsid w:val="0015307A"/>
    <w:rsid w:val="00155F72"/>
    <w:rsid w:val="004946E7"/>
    <w:rsid w:val="005D25C5"/>
    <w:rsid w:val="008B1A6B"/>
    <w:rsid w:val="008B7B38"/>
    <w:rsid w:val="0099629C"/>
    <w:rsid w:val="009E1ABF"/>
    <w:rsid w:val="00B40E5D"/>
    <w:rsid w:val="00B665C7"/>
    <w:rsid w:val="00D46590"/>
    <w:rsid w:val="00DC4826"/>
    <w:rsid w:val="00ED6E9C"/>
    <w:rsid w:val="0DF9367B"/>
    <w:rsid w:val="15381E6A"/>
    <w:rsid w:val="22925B95"/>
    <w:rsid w:val="76C7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1"/>
    <w:pPr>
      <w:spacing w:before="14"/>
      <w:ind w:left="1106"/>
      <w:jc w:val="left"/>
      <w:outlineLvl w:val="1"/>
    </w:pPr>
    <w:rPr>
      <w:rFonts w:ascii="宋体" w:hAnsi="宋体" w:eastAsia="宋体" w:cs="宋体"/>
      <w:b/>
      <w:bCs/>
      <w:kern w:val="0"/>
      <w:sz w:val="28"/>
      <w:szCs w:val="28"/>
      <w:lang w:eastAsia="en-US"/>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9"/>
    <w:qFormat/>
    <w:uiPriority w:val="1"/>
    <w:pPr>
      <w:ind w:left="130"/>
      <w:jc w:val="left"/>
    </w:pPr>
    <w:rPr>
      <w:rFonts w:ascii="宋体" w:hAnsi="宋体" w:eastAsia="宋体" w:cs="宋体"/>
      <w:kern w:val="0"/>
      <w:szCs w:val="21"/>
      <w:lang w:eastAsia="en-US"/>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4"/>
    <w:qFormat/>
    <w:uiPriority w:val="1"/>
    <w:rPr>
      <w:rFonts w:ascii="宋体" w:hAnsi="宋体" w:eastAsia="宋体" w:cs="宋体"/>
      <w:kern w:val="0"/>
      <w:szCs w:val="21"/>
      <w:lang w:eastAsia="en-US"/>
    </w:rPr>
  </w:style>
  <w:style w:type="character" w:customStyle="1" w:styleId="10">
    <w:name w:val="标题 2 字符"/>
    <w:basedOn w:val="8"/>
    <w:link w:val="2"/>
    <w:uiPriority w:val="1"/>
    <w:rPr>
      <w:rFonts w:ascii="宋体" w:hAnsi="宋体" w:eastAsia="宋体" w:cs="宋体"/>
      <w:b/>
      <w:bCs/>
      <w:kern w:val="0"/>
      <w:sz w:val="28"/>
      <w:szCs w:val="28"/>
      <w:lang w:eastAsia="en-US"/>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1537</Words>
  <Characters>1568</Characters>
  <Lines>22</Lines>
  <Paragraphs>6</Paragraphs>
  <TotalTime>0</TotalTime>
  <ScaleCrop>false</ScaleCrop>
  <LinksUpToDate>false</LinksUpToDate>
  <CharactersWithSpaces>1575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2024-04-16T05:52:00Z</dcterms:created>
  <dc:creator>YouTao 尤涛</dc:creator>
  <cp:lastModifiedBy>Beautiful Life</cp:lastModifiedBy>
  <dcterms:modified xsi:type="dcterms:W3CDTF">2024-06-24T11:50:39Z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4A6CB445D7834475A9AFB6AFFBE30BC9_12</vt:lpwstr>
  </property>
</Properties>
</file>