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442000-2026-02914</w:t>
      </w:r>
    </w:p>
    <w:p>
      <w:pPr>
        <w:pStyle w:val="null3"/>
        <w:jc w:val="center"/>
        <w:outlineLvl w:val="3"/>
      </w:pPr>
      <w:r>
        <w:rPr>
          <w:sz w:val="24"/>
          <w:b/>
        </w:rPr>
        <w:t>采购项目编号：</w:t>
      </w:r>
      <w:r>
        <w:rPr>
          <w:sz w:val="24"/>
          <w:b/>
        </w:rPr>
        <w:t>442000-2026-02914</w:t>
      </w:r>
    </w:p>
    <w:p>
      <w:pPr>
        <w:pStyle w:val="null3"/>
        <w:jc w:val="center"/>
        <w:outlineLvl w:val="3"/>
      </w:pPr>
      <w:r>
        <w:rPr>
          <w:sz w:val="24"/>
          <w:b/>
        </w:rPr>
        <w:t>项目名称：</w:t>
      </w:r>
      <w:r>
        <w:rPr>
          <w:sz w:val="24"/>
          <w:b/>
        </w:rPr>
        <w:t>中山市人民医院手术监护仪及便携转运监护仪采购项目</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中山市人民医院</w:t>
      </w:r>
      <w:r>
        <w:rPr/>
        <w:t>的委托，采用</w:t>
      </w:r>
      <w:r>
        <w:rPr/>
        <w:t>公开招标</w:t>
      </w:r>
      <w:r>
        <w:rPr/>
        <w:t>方式组织采购</w:t>
      </w:r>
      <w:r>
        <w:rPr/>
        <w:t>中山市人民医院手术监护仪及便携转运监护仪采购项目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中山市人民医院手术监护仪及便携转运监护仪采购项目</w:t>
      </w:r>
    </w:p>
    <w:p>
      <w:pPr>
        <w:pStyle w:val="null3"/>
        <w:ind w:firstLine="480"/>
      </w:pPr>
      <w:r>
        <w:rPr/>
        <w:t>采购计划编号：</w:t>
      </w:r>
      <w:r>
        <w:rPr/>
        <w:t>442000-2026-02914</w:t>
      </w:r>
    </w:p>
    <w:p>
      <w:pPr>
        <w:pStyle w:val="null3"/>
        <w:ind w:firstLine="480"/>
      </w:pPr>
      <w:r>
        <w:rPr/>
        <w:t>采购项目编号：</w:t>
      </w:r>
      <w:r>
        <w:rPr/>
        <w:t>442000-2026-02914</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采购包1(手术监护仪及便携转运监护仪):</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手术监护仪及便携转运监护仪</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合同履行期限：与招标文件及合同履约要求一致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具有良好的商业信誉和健全的财务会计制度：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p>
      <w:pPr>
        <w:pStyle w:val="null3"/>
      </w:pPr>
      <w:r>
        <w:rPr/>
        <w:t>4）履行合同所必需的设备和专业技术能力：履行合同所必需的设备和专业技术能力：按投标（响应）文件格式填报设备及专业技术能力情况或提供承诺函（如提供承诺函，格式自拟）。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采购包1（手术监护仪及便携转运监护仪）：</w:t>
      </w:r>
      <w:r>
        <w:rPr/>
        <w:t>本项目非专门面向中小企业采购。</w:t>
      </w:r>
    </w:p>
    <w:p>
      <w:pPr>
        <w:pStyle w:val="null3"/>
        <w:outlineLvl w:val="3"/>
      </w:pPr>
      <w:r>
        <w:rPr>
          <w:sz w:val="24"/>
          <w:b/>
        </w:rPr>
        <w:t>3.本项目特定的资格要求：</w:t>
      </w:r>
    </w:p>
    <w:p>
      <w:pPr>
        <w:pStyle w:val="null3"/>
      </w:pPr>
      <w:r>
        <w:rPr/>
        <w:t>采购包1（手术监护仪及便携转运监护仪）：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3)供应商须无围标、串标行为。（按招标文件第二章 采购需求中《无围标、串标行为承诺书》格式提供）</w:t>
      </w:r>
    </w:p>
    <w:p>
      <w:pPr>
        <w:pStyle w:val="null3"/>
      </w:pPr>
      <w:r>
        <w:rPr/>
        <w:t>4)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中山市孙文东路2号</w:t>
      </w:r>
    </w:p>
    <w:p>
      <w:pPr>
        <w:pStyle w:val="null3"/>
        <w:ind w:firstLine="480"/>
      </w:pPr>
      <w:r>
        <w:rPr/>
        <w:t xml:space="preserve"> 联系方式：</w:t>
      </w:r>
      <w:r>
        <w:rPr/>
        <w:t>0760-89919859</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中山市东区中山五路82号紫翠花园一期紫怡园1座2724房</w:t>
      </w:r>
    </w:p>
    <w:p>
      <w:pPr>
        <w:pStyle w:val="null3"/>
        <w:ind w:firstLine="480"/>
      </w:pPr>
      <w:r>
        <w:rPr/>
        <w:t xml:space="preserve"> 联系方式：</w:t>
      </w:r>
      <w:r>
        <w:rPr/>
        <w:t>0760-88619966</w:t>
      </w:r>
    </w:p>
    <w:p>
      <w:pPr>
        <w:pStyle w:val="null3"/>
        <w:outlineLvl w:val="3"/>
      </w:pPr>
      <w:r>
        <w:rPr>
          <w:sz w:val="24"/>
          <w:b/>
        </w:rPr>
        <w:t xml:space="preserve"> 3.项目联系方式</w:t>
      </w:r>
    </w:p>
    <w:p>
      <w:pPr>
        <w:pStyle w:val="null3"/>
        <w:ind w:firstLine="480"/>
      </w:pPr>
      <w:r>
        <w:rPr/>
        <w:t xml:space="preserve"> 项目联系人：</w:t>
      </w:r>
      <w:r>
        <w:rPr/>
        <w:t>叶小姐、林先生、梁先生</w:t>
      </w:r>
    </w:p>
    <w:p>
      <w:pPr>
        <w:pStyle w:val="null3"/>
        <w:ind w:firstLine="480"/>
      </w:pPr>
      <w:r>
        <w:rPr/>
        <w:t xml:space="preserve"> 电话：</w:t>
      </w:r>
      <w:r>
        <w:rPr/>
        <w:t>0760-88619966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480"/>
        <w:jc w:val="both"/>
      </w:pPr>
      <w:r>
        <w:rPr>
          <w:sz w:val="24"/>
        </w:rPr>
        <w:t>1.项目名称：</w:t>
      </w:r>
      <w:r>
        <w:rPr>
          <w:sz w:val="24"/>
        </w:rPr>
        <w:t>中山市人民医院手术监护仪及便携转运监护仪采购项目</w:t>
      </w:r>
    </w:p>
    <w:p>
      <w:pPr>
        <w:pStyle w:val="null3"/>
        <w:ind w:firstLine="480"/>
        <w:jc w:val="both"/>
      </w:pPr>
      <w:r>
        <w:rPr>
          <w:sz w:val="24"/>
        </w:rPr>
        <w:t>2</w:t>
      </w:r>
      <w:r>
        <w:rPr>
          <w:sz w:val="24"/>
        </w:rPr>
        <w:t>.本</w:t>
      </w:r>
      <w:r>
        <w:rPr>
          <w:sz w:val="24"/>
        </w:rPr>
        <w:t>项目</w:t>
      </w:r>
      <w:r>
        <w:rPr>
          <w:sz w:val="24"/>
        </w:rPr>
        <w:t>不接受联合体投标。</w:t>
      </w:r>
    </w:p>
    <w:p>
      <w:pPr>
        <w:pStyle w:val="null3"/>
        <w:ind w:firstLine="480"/>
        <w:jc w:val="both"/>
      </w:pPr>
      <w:r>
        <w:rPr>
          <w:sz w:val="24"/>
        </w:rPr>
        <w:t>3.在采购文件中如标注“★”标识的内容条款被视为实质性响应条款要求，投标人必须对此作全面响应和满足，任何负偏离则将被视为无效投标。在采购文件中标注“▲”标识的内容为重点评标项目，投标人必须对该标识项目按照要求进行如实应答，“▲”标识的内容如负偏离则重点扣分。</w:t>
      </w:r>
    </w:p>
    <w:p>
      <w:pPr>
        <w:pStyle w:val="null3"/>
        <w:ind w:firstLine="480"/>
        <w:jc w:val="both"/>
      </w:pPr>
      <w:r>
        <w:rPr>
          <w:sz w:val="24"/>
        </w:rPr>
        <w:t>4</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ind w:firstLine="480"/>
        <w:jc w:val="both"/>
      </w:pPr>
      <w:r>
        <w:rPr>
          <w:sz w:val="24"/>
        </w:rPr>
        <w:t>5</w:t>
      </w:r>
      <w:r>
        <w:rPr>
          <w:sz w:val="24"/>
        </w:rPr>
        <w:t>.</w:t>
      </w:r>
      <w:r>
        <w:rPr>
          <w:sz w:val="24"/>
        </w:rPr>
        <w:t>投标人</w:t>
      </w:r>
      <w:r>
        <w:rPr>
          <w:sz w:val="24"/>
        </w:rPr>
        <w:t>必须对投标文件所提供的所有技术参数的真实性负责。采购人在验收货物时，有权要求中标人提供所投货物相应的官方有效的技术支持文件，一旦发现</w:t>
      </w:r>
      <w:r>
        <w:rPr>
          <w:sz w:val="24"/>
        </w:rPr>
        <w:t>投标人</w:t>
      </w:r>
      <w:r>
        <w:rPr>
          <w:sz w:val="24"/>
        </w:rPr>
        <w:t>有提供虚假材料谋取中标、成交的情况，采购人将上报财政监管部门按照法律法规进行处罚和追责。</w:t>
      </w:r>
    </w:p>
    <w:p>
      <w:pPr>
        <w:pStyle w:val="null3"/>
        <w:ind w:firstLine="480"/>
        <w:jc w:val="both"/>
      </w:pPr>
      <w:r>
        <w:rPr>
          <w:sz w:val="24"/>
        </w:rPr>
        <w:t>6.投标报价包括完成本项目的成本、利润、运费、税金、保险、检定/校准证书、安装、培训等全部费用，采购人不再另外支付任何费用。投标人提供的货物必须是全新，表面无划伤、无碰撞，产品质量符合中华人民共和国国家行业标准。</w:t>
      </w:r>
    </w:p>
    <w:p>
      <w:pPr>
        <w:pStyle w:val="null3"/>
        <w:ind w:firstLine="480"/>
        <w:jc w:val="both"/>
      </w:pPr>
      <w:r>
        <w:rPr>
          <w:sz w:val="24"/>
        </w:rPr>
        <w:t>7.“附表一：手术监护仪及便携转运监护仪”中“</w:t>
      </w:r>
      <w:r>
        <w:rPr>
          <w:sz w:val="24"/>
        </w:rPr>
        <w:t>具体技术</w:t>
      </w:r>
      <w:r>
        <w:rPr>
          <w:sz w:val="24"/>
        </w:rPr>
        <w:t>(参数)要求</w:t>
      </w:r>
      <w:r>
        <w:rPr>
          <w:sz w:val="24"/>
        </w:rPr>
        <w:t>”序号1-20为监测参数要求，序号21-31为系统功能要求，序号32-33为配置清单要求。</w:t>
      </w:r>
    </w:p>
    <w:p>
      <w:pPr>
        <w:pStyle w:val="null3"/>
        <w:jc w:val="both"/>
      </w:pPr>
      <w:r>
        <w:rPr>
          <w:sz w:val="24"/>
          <w:b/>
        </w:rPr>
        <w:t>二、《无围标、串标行为承诺书》格式</w:t>
      </w:r>
    </w:p>
    <w:p>
      <w:pPr>
        <w:pStyle w:val="null3"/>
        <w:jc w:val="center"/>
      </w:pPr>
      <w:r>
        <w:rPr>
          <w:sz w:val="24"/>
        </w:rPr>
        <w:t>《无围标、串标行为承诺书》</w:t>
      </w:r>
    </w:p>
    <w:p>
      <w:pPr>
        <w:pStyle w:val="null3"/>
        <w:ind w:firstLine="480"/>
      </w:pPr>
      <w:r>
        <w:rPr>
          <w:sz w:val="24"/>
        </w:rPr>
        <w:t>本公司郑重承诺：我公司在参加本次（项目名称：</w:t>
      </w:r>
      <w:r>
        <w:rPr>
          <w:sz w:val="24"/>
          <w:u w:val="single"/>
        </w:rPr>
        <w:t>中山市人民医院手术监护仪及便携转运监护仪采购项目</w:t>
      </w:r>
      <w:r>
        <w:rPr>
          <w:sz w:val="24"/>
        </w:rPr>
        <w:t>；</w:t>
      </w:r>
      <w:r>
        <w:rPr>
          <w:sz w:val="24"/>
        </w:rPr>
        <w:t>项目编号：</w:t>
      </w:r>
      <w:r>
        <w:rPr>
          <w:sz w:val="24"/>
          <w:u w:val="single"/>
        </w:rPr>
        <w:t>442000-2026-</w:t>
      </w:r>
      <w:r>
        <w:rPr>
          <w:sz w:val="24"/>
          <w:u w:val="single"/>
        </w:rPr>
        <w:t>0</w:t>
      </w:r>
      <w:r>
        <w:rPr>
          <w:sz w:val="24"/>
          <w:u w:val="single"/>
        </w:rPr>
        <w:t>29</w:t>
      </w:r>
      <w:r>
        <w:rPr>
          <w:sz w:val="24"/>
          <w:u w:val="single"/>
        </w:rPr>
        <w:t>14</w:t>
      </w:r>
      <w:r>
        <w:rPr>
          <w:sz w:val="24"/>
        </w:rPr>
        <w:t>；</w:t>
      </w:r>
      <w:r>
        <w:rPr>
          <w:sz w:val="24"/>
        </w:rPr>
        <w:t>采购包</w:t>
      </w:r>
      <w:r>
        <w:rPr>
          <w:sz w:val="24"/>
        </w:rPr>
        <w:t>1(</w:t>
      </w:r>
      <w:r>
        <w:rPr>
          <w:sz w:val="24"/>
        </w:rPr>
        <w:t>手术监护仪及便携转运监护仪</w:t>
      </w:r>
      <w:r>
        <w:rPr>
          <w:sz w:val="24"/>
        </w:rPr>
        <w:t>)）活动中，无以下围标、串标行为：</w:t>
      </w:r>
    </w:p>
    <w:p>
      <w:pPr>
        <w:pStyle w:val="null3"/>
      </w:pPr>
      <w:r>
        <w:rPr>
          <w:sz w:val="24"/>
        </w:rPr>
        <w:t>1.</w:t>
      </w:r>
      <w:r>
        <w:rPr>
          <w:sz w:val="24"/>
        </w:rPr>
        <w:t>不同</w:t>
      </w:r>
      <w:r>
        <w:rPr>
          <w:sz w:val="24"/>
        </w:rPr>
        <w:t>投标人</w:t>
      </w:r>
      <w:r>
        <w:rPr>
          <w:sz w:val="24"/>
        </w:rPr>
        <w:t>的投标文件由同一单位或者个人编制；</w:t>
      </w:r>
    </w:p>
    <w:p>
      <w:pPr>
        <w:pStyle w:val="null3"/>
        <w:jc w:val="left"/>
      </w:pPr>
      <w:r>
        <w:rPr>
          <w:sz w:val="24"/>
        </w:rPr>
        <w:t>2.不同投标人委托同一单位或者个人办理投标事宜；</w:t>
      </w:r>
    </w:p>
    <w:p>
      <w:pPr>
        <w:pStyle w:val="null3"/>
        <w:jc w:val="left"/>
      </w:pPr>
      <w:r>
        <w:rPr>
          <w:sz w:val="24"/>
        </w:rPr>
        <w:t>3.不同投标人的投标文件载明的项目管理成员或者联系人员为同一人；</w:t>
      </w:r>
    </w:p>
    <w:p>
      <w:pPr>
        <w:pStyle w:val="null3"/>
        <w:jc w:val="left"/>
      </w:pPr>
      <w:r>
        <w:rPr>
          <w:sz w:val="24"/>
        </w:rPr>
        <w:t>4.不同投标人的投标文件异常一致或者投标报价呈规律性差异；</w:t>
      </w:r>
    </w:p>
    <w:p>
      <w:pPr>
        <w:pStyle w:val="null3"/>
        <w:jc w:val="left"/>
      </w:pPr>
      <w:r>
        <w:rPr>
          <w:sz w:val="24"/>
        </w:rPr>
        <w:t>5.不同投标人的投标文件相互混装；</w:t>
      </w:r>
    </w:p>
    <w:p>
      <w:pPr>
        <w:pStyle w:val="null3"/>
        <w:jc w:val="left"/>
      </w:pPr>
      <w:r>
        <w:rPr>
          <w:sz w:val="24"/>
        </w:rPr>
        <w:t>6.不同投标人的董事、监事、高管、单位负责人为同一人或者存在控股、管理关系的不同单位参加同一包组招标项目投标；</w:t>
      </w:r>
    </w:p>
    <w:p>
      <w:pPr>
        <w:pStyle w:val="null3"/>
        <w:jc w:val="left"/>
      </w:pPr>
      <w:r>
        <w:rPr>
          <w:sz w:val="24"/>
        </w:rPr>
        <w:t>7.法律法规界定的其他围标串标行为。</w:t>
      </w:r>
    </w:p>
    <w:p>
      <w:pPr>
        <w:pStyle w:val="null3"/>
      </w:pPr>
      <w:r>
        <w:rPr>
          <w:sz w:val="24"/>
        </w:rPr>
        <w:t>如有发现我公司存在围标、串标行为，我公司愿承担一切法律责任。</w:t>
      </w:r>
    </w:p>
    <w:p>
      <w:pPr>
        <w:pStyle w:val="null3"/>
      </w:pPr>
      <w:r>
        <w:rPr>
          <w:sz w:val="24"/>
        </w:rPr>
        <w:t>特此承诺！</w:t>
      </w:r>
    </w:p>
    <w:p>
      <w:pPr>
        <w:pStyle w:val="null3"/>
        <w:ind w:firstLine="4337"/>
        <w:jc w:val="left"/>
      </w:pPr>
      <w:r>
        <w:rPr>
          <w:sz w:val="24"/>
          <w:b/>
        </w:rPr>
        <w:t>投标人</w:t>
      </w:r>
      <w:r>
        <w:rPr>
          <w:sz w:val="24"/>
          <w:b/>
        </w:rPr>
        <w:t>名称（盖章）：</w:t>
      </w:r>
    </w:p>
    <w:p>
      <w:pPr>
        <w:pStyle w:val="null3"/>
        <w:ind w:firstLine="4337"/>
        <w:jc w:val="both"/>
      </w:pPr>
      <w:r>
        <w:rPr>
          <w:sz w:val="24"/>
          <w:b/>
        </w:rPr>
        <w:t>法定代表人（或授权代表）签名：</w:t>
      </w:r>
    </w:p>
    <w:p>
      <w:pPr>
        <w:pStyle w:val="null3"/>
        <w:ind w:firstLine="4337"/>
        <w:jc w:val="both"/>
      </w:pPr>
      <w:r>
        <w:rPr>
          <w:sz w:val="24"/>
          <w:b/>
        </w:rPr>
        <w:t>日期：</w:t>
      </w:r>
      <w:r>
        <w:rPr>
          <w:sz w:val="24"/>
          <w:b/>
        </w:rPr>
        <w:t xml:space="preserve"> 年  月  日</w:t>
      </w:r>
    </w:p>
    <w:p>
      <w:pPr>
        <w:pStyle w:val="null3"/>
      </w:pPr>
      <w:r>
        <w:rPr>
          <w:sz w:val="24"/>
        </w:rPr>
        <w:t xml:space="preserve"> </w:t>
      </w:r>
      <w:r>
        <w:rPr/>
        <w:t xml:space="preserve">  </w:t>
      </w:r>
      <w:r>
        <w:rPr>
          <w:sz w:val="24"/>
          <w:b/>
        </w:rPr>
        <w:t>注：以上</w:t>
      </w:r>
      <w:r>
        <w:rPr>
          <w:sz w:val="24"/>
          <w:b/>
        </w:rPr>
        <w:t>《无围标、串标行为承诺书》</w:t>
      </w:r>
      <w:r>
        <w:rPr>
          <w:sz w:val="24"/>
          <w:b/>
        </w:rPr>
        <w:t>格式不得修改。</w:t>
      </w:r>
      <w:r>
        <w:br/>
      </w:r>
      <w:r>
        <w:rPr>
          <w:sz w:val="24"/>
        </w:rPr>
        <w:t>三</w:t>
      </w:r>
      <w:r>
        <w:rPr>
          <w:sz w:val="24"/>
          <w:b/>
        </w:rPr>
        <w:t>、本项目严格执行关于</w:t>
      </w:r>
      <w:r>
        <w:rPr>
          <w:sz w:val="24"/>
          <w:b/>
        </w:rPr>
        <w:t>“强化政府采购异常低价审查”的要求（财政部《关于推动解决政府采购异常低价问题的通知》财库〔2026〕2号），具体执行内容如下：</w:t>
      </w:r>
    </w:p>
    <w:p>
      <w:pPr>
        <w:pStyle w:val="null3"/>
        <w:ind w:firstLine="480"/>
        <w:jc w:val="both"/>
      </w:pPr>
      <w:r>
        <w:rPr>
          <w:sz w:val="24"/>
        </w:rPr>
        <w:t>1.</w:t>
      </w:r>
      <w:r>
        <w:rPr>
          <w:sz w:val="24"/>
        </w:rPr>
        <w:t>购人应当在采购文件中明确，政府采购评审中出现下列情形之一的，评审委员会应当启动异常低价投标（响应）审查程序：</w:t>
      </w:r>
    </w:p>
    <w:p>
      <w:pPr>
        <w:pStyle w:val="null3"/>
        <w:ind w:firstLine="480"/>
        <w:jc w:val="both"/>
      </w:pPr>
      <w:r>
        <w:rPr>
          <w:sz w:val="24"/>
        </w:rPr>
        <w:t>1.</w:t>
      </w:r>
      <w:r>
        <w:rPr>
          <w:sz w:val="24"/>
        </w:rPr>
        <w:t>1</w:t>
      </w:r>
      <w:r>
        <w:rPr>
          <w:sz w:val="24"/>
        </w:rPr>
        <w:t>投标（响应）报价低于全部通过符合性审查供应商投标（响应）报价平均值</w:t>
      </w:r>
      <w:r>
        <w:rPr>
          <w:sz w:val="24"/>
        </w:rPr>
        <w:t>50%的，即投标（响应）报价&lt;全部通过符合性审查供应商投标（响应）报价平均值×50%；</w:t>
      </w:r>
    </w:p>
    <w:p>
      <w:pPr>
        <w:pStyle w:val="null3"/>
        <w:ind w:firstLine="480"/>
        <w:jc w:val="both"/>
      </w:pPr>
      <w:r>
        <w:rPr>
          <w:sz w:val="24"/>
        </w:rPr>
        <w:t>1.</w:t>
      </w:r>
      <w:r>
        <w:rPr>
          <w:sz w:val="24"/>
        </w:rPr>
        <w:t>2投标（响应）报价低于通过符合性审查的次低报价供应商投标（响应）报价50%的，即投标（响应）报价&lt;通过符合性审查的次低报价供应商投标（响应）报价×50%；</w:t>
      </w:r>
    </w:p>
    <w:p>
      <w:pPr>
        <w:pStyle w:val="null3"/>
        <w:ind w:firstLine="480"/>
        <w:jc w:val="both"/>
      </w:pPr>
      <w:r>
        <w:rPr>
          <w:sz w:val="24"/>
        </w:rPr>
        <w:t>1.</w:t>
      </w:r>
      <w:r>
        <w:rPr>
          <w:sz w:val="24"/>
        </w:rPr>
        <w:t>3投标（响应）报价低于采购项目最高限价45%的，即投标（响应）报价&lt;采购项目最高限价×45%；</w:t>
      </w:r>
    </w:p>
    <w:p>
      <w:pPr>
        <w:pStyle w:val="null3"/>
        <w:ind w:firstLine="480"/>
        <w:jc w:val="both"/>
      </w:pPr>
      <w:r>
        <w:rPr>
          <w:sz w:val="24"/>
        </w:rPr>
        <w:t>1.</w:t>
      </w:r>
      <w:r>
        <w:rPr>
          <w:sz w:val="24"/>
        </w:rPr>
        <w:t>4评审委员会基于专业判断，认为供应商报价过低，有可能影响产品质量或者不能诚信履约的其他情形。</w:t>
      </w:r>
    </w:p>
    <w:p>
      <w:pPr>
        <w:pStyle w:val="null3"/>
        <w:ind w:firstLine="480"/>
        <w:jc w:val="both"/>
      </w:pPr>
      <w:r>
        <w:rPr>
          <w:sz w:val="24"/>
        </w:rPr>
        <w:t>采购人可以结合具体项目实际情况，提高上述第</w:t>
      </w:r>
      <w:r>
        <w:rPr>
          <w:sz w:val="24"/>
        </w:rPr>
        <w:t>1项至第3项中启动异常低价投标（响应）审查的数值标准，但是最高不得超过65%。</w:t>
      </w:r>
    </w:p>
    <w:p>
      <w:pPr>
        <w:pStyle w:val="null3"/>
        <w:ind w:firstLine="480"/>
        <w:jc w:val="both"/>
      </w:pPr>
      <w:r>
        <w:rPr>
          <w:sz w:val="24"/>
        </w:rPr>
        <w:t>相关法律法规对供应商报价有规定的，从其规定。</w:t>
      </w:r>
    </w:p>
    <w:p>
      <w:pPr>
        <w:pStyle w:val="null3"/>
        <w:ind w:firstLine="480"/>
        <w:jc w:val="both"/>
      </w:pPr>
      <w:r>
        <w:rPr>
          <w:sz w:val="24"/>
        </w:rPr>
        <w:t>2.</w:t>
      </w:r>
      <w:r>
        <w:rPr>
          <w:sz w:val="24"/>
        </w:rPr>
        <w:t>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80"/>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480"/>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pPr>
      <w:r>
        <w:rPr>
          <w:sz w:val="24"/>
        </w:rPr>
        <w:t>3</w:t>
      </w:r>
      <w:r>
        <w:rPr>
          <w:sz w:val="24"/>
        </w:rPr>
        <w:t>.</w:t>
      </w:r>
      <w:r>
        <w:rPr>
          <w:sz w:val="24"/>
        </w:rPr>
        <w:t>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t>采购包1（手术监护仪及便携转运监护仪）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1期：支付比例100%,具体为： ①合同总额支付方式为一次性付款。 ②合同签订后，中标供应商向采购人交付合同总额的5%作为履约保证金或提交银行保函。整机保修期结束后，经采购人考核合格后，履约保证金不计利息一次性返还。若中标供应商未交付履约保证金或提交银行保函，采购人有权不支付合同款项。 ③中标供应商凭以下有效文件与采购人结算：中标供应商开具的有效发票及相关单据；服务质量评价情况（加盖采购人业务科室印章）。 ④合同约定的货物送达或服务完成后，经采购人确认验收合格，中标供应商出具有效发票，符合支付条件的，采购人60日内支付合同总额100%的合同费用。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为，1.中标供应商协助完成首次计量检测；2.由采购人组织的项目验收小组进行验收，中标供应商负责合同项下的设备安装调试，一切费用由中标供应商负责；3.验收程序、验收时间、验收内容：中标供应商安装时须对各安装场地内的其它设备、设施有良好保护措施。中标供应商将所供设备运送至交货地点，采购人、中标供应商双方共同拆箱，中标供应商合同设备安装调试完成并移交所有资料文档后进行验收，由采购人负责验收，中标供应商应向采购人提供全套的材料/设备配置清单及检验产品合格证、使用说明书及其它技术资料。设备验收合格后，采购人、中标供应商双方共同签署相关验收资料；4.验收标准：验收按国家有关的标准规定、规范进行。验收时如发现所交付的设备有短装、次品、损坏或其它不符合本合同规定之情形者，采购人应做出详尽的现场记录，或由采购人、中标供应商双方签署备忘录。此现场记录或备忘录可用作补充、缺失和更换损坏部件的有效证据。由此产生的有关费用由中标供应商承担，验收期限相应后延；5.其他验收要求：如在验收中发现设备达不到验收标准或合同及合同相关技术文件规定，中标供应商应及时安排更换，以保证合同设备安装调试的成功完成,使设备最终达到合同或合同相关技术文件中规定的性能和要求。更换的相关费用由中标供应商承担并承担由此造成的一切损失。合同设备从验收合格次日起一个月内，出现非采购人人为因素造成的无法排除的故障，由中标供应商予以整机调换。如中标供应商没有及时提供相关证件（如商检证等），有可能影响验收进程，所导致的经济损失，由中标供应商自行承担； ★6.产品必须具备出厂合格证。</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 2151 6010 0082 27</w:t>
            </w:r>
          </w:p>
          <w:p>
            <w:pPr>
              <w:pStyle w:val="null3"/>
            </w:pPr>
            <w:r>
              <w:rPr/>
              <w:t>户名：中山市人民医院</w:t>
            </w:r>
          </w:p>
          <w:p>
            <w:pPr>
              <w:pStyle w:val="null3"/>
            </w:pPr>
            <w:r>
              <w:rPr/>
              <w:t>开户行：广发银行股份有限公司中山分行</w:t>
            </w:r>
          </w:p>
          <w:p>
            <w:pPr>
              <w:pStyle w:val="null3"/>
            </w:pPr>
            <w:r>
              <w:rPr/>
              <w:t>支票提交方式：线下提交</w:t>
            </w:r>
          </w:p>
          <w:p>
            <w:pPr>
              <w:pStyle w:val="null3"/>
            </w:pPr>
            <w:r>
              <w:rPr/>
              <w:t>汇票、本票提交方式：线下提交</w:t>
            </w:r>
          </w:p>
          <w:p>
            <w:pPr>
              <w:pStyle w:val="null3"/>
            </w:pPr>
            <w:r>
              <w:rPr/>
              <w:t>说明：中标人须在签订合同前向采购人支付合同金额的5%作为履约保证金。中标人以非现金方式（可选转账、电汇、汇票、支票、保函等，如选用保函形式，保函出具机构原则上应在采购人所在城市范围内且有实体营业点）缴纳或提交履约保证金，期满后30日内无履约缺陷的一次性无息付清。如中标人不履行合同约定的义务或履行不符合合同的约定，采购人有权扣划相应金额的履约保证金。在签订合同前，中标人应按规定的金额、方式向采购人提交履约保证金。如中标人不能按规定提交履约保证金的，视为放弃中标资格，给采购人造成损失的，中标人还应当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2.涉及专机专用耗材、易损件等需填列报价，且承诺至少在质保期内按此价格执行。若投标人所投产品不涉及专机专用耗材、易损件等，提供不涉及专机专用耗材及易损件的声明函； 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安装、保修期及售后服务要求</w:t>
            </w:r>
          </w:p>
        </w:tc>
        <w:tc>
          <w:tcPr>
            <w:tcW w:type="dxa" w:w="2076"/>
          </w:tcPr>
          <w:p>
            <w:pPr>
              <w:pStyle w:val="null3"/>
              <w:jc w:val="left"/>
            </w:pPr>
            <w:r>
              <w:rPr/>
              <w:t>1.整机保修5年以上（包含电池、导联线等易损耗件，一次性耗材除外）。 2.保修期内厂家每年维护保养设备至少2次。 3.接到报修电话后，厂家工程师1小时内响应，24小时到达现场，48小时内解决问题。</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1.投标人须承诺，本项目所投设备生产日期不得早于合同签订日期1年。（提供承诺函并加盖公章，格式自拟）； ★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 3.如设备系统升级，需为所有软件提供升级和版本更换，产生的所有费用均包含在投标报价内。 ★4.信息安全要求符合采购人内部信息安全管理要求及行业管理规定。</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医疗器械注册证明或备案要求</w:t>
            </w:r>
          </w:p>
        </w:tc>
        <w:tc>
          <w:tcPr>
            <w:tcW w:type="dxa" w:w="2076"/>
          </w:tcPr>
          <w:p>
            <w:pPr>
              <w:pStyle w:val="null3"/>
              <w:jc w:val="left"/>
            </w:pPr>
            <w:r>
              <w:rPr/>
              <w:t>投标人所投设备具有有效的医疗器械注册证明或备案证明。</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生产或经营范围要求</w:t>
            </w:r>
          </w:p>
        </w:tc>
        <w:tc>
          <w:tcPr>
            <w:tcW w:type="dxa" w:w="2076"/>
          </w:tcPr>
          <w:p>
            <w:pPr>
              <w:pStyle w:val="null3"/>
              <w:jc w:val="left"/>
            </w:pPr>
            <w:r>
              <w:rPr/>
              <w:t>投标人为所投设备制造商的，所提供的《医疗器械生产许可证》副本或备案证明须具备所投设备生产范围；投标人为所投设备代理经销商的，所提供的《医疗器械经营许可证》/《食品药品经营许可证》副本或备案证明须具备所投设备经营范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手术监护仪及便携转运监护仪</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手术监护仪及便携转运监护仪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模块化插件式床边监护仪，主机、显示屏和插件槽一体化设计，主机模块插槽数</w:t>
            </w:r>
            <w:r>
              <w:rPr>
                <w:sz w:val="24"/>
              </w:rPr>
              <w:t>≥6个</w:t>
            </w:r>
            <w:r>
              <w:rPr>
                <w:sz w:val="24"/>
              </w:rPr>
              <w:t>，</w:t>
            </w:r>
            <w:r>
              <w:rPr>
                <w:sz w:val="24"/>
              </w:rPr>
              <w:t>主机</w:t>
            </w:r>
            <w:r>
              <w:rPr>
                <w:sz w:val="24"/>
              </w:rPr>
              <w:t>锂</w:t>
            </w:r>
            <w:r>
              <w:rPr>
                <w:sz w:val="24"/>
              </w:rPr>
              <w:t>电池供电</w:t>
            </w:r>
            <w:r>
              <w:rPr>
                <w:sz w:val="24"/>
              </w:rPr>
              <w:t>≥4小时</w:t>
            </w:r>
            <w:r>
              <w:rPr>
                <w:sz w:val="24"/>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rPr>
              <w:t>18英寸彩色电容触摸屏，高分辨率≥1920×1080像素，≥12通道显示，显示屏亮度自动调节，屏幕支持手势滑动操作，支持穿戴医用防护手套操作</w:t>
            </w:r>
            <w:r>
              <w:rPr>
                <w:sz w:val="24"/>
              </w:rPr>
              <w:t>。</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tc>
        <w:tc>
          <w:tcPr>
            <w:tcW w:type="dxa" w:w="415"/>
          </w:tcPr>
          <w:p>
            <w:pPr>
              <w:pStyle w:val="null3"/>
            </w:pPr>
            <w:r>
              <w:rPr/>
              <w:t>3</w:t>
            </w:r>
          </w:p>
        </w:tc>
        <w:tc>
          <w:tcPr>
            <w:tcW w:type="dxa" w:w="5814"/>
          </w:tcPr>
          <w:p>
            <w:pPr>
              <w:pStyle w:val="null3"/>
            </w:pPr>
            <w:r>
              <w:rPr>
                <w:sz w:val="24"/>
              </w:rPr>
              <w:t>至少可监测心电，呼吸，心率，无创血压，血氧饱和度，脉搏，双通道体温和双通道有创血压等生理参数</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标配转运监护</w:t>
            </w:r>
            <w:r>
              <w:rPr>
                <w:sz w:val="24"/>
              </w:rPr>
              <w:t>模块</w:t>
            </w:r>
            <w:r>
              <w:rPr>
                <w:sz w:val="24"/>
              </w:rPr>
              <w:t>，具有独立操作显示屏，屏幕尺寸</w:t>
            </w:r>
            <w:r>
              <w:rPr>
                <w:sz w:val="24"/>
              </w:rPr>
              <w:t>≥</w:t>
            </w:r>
            <w:r>
              <w:rPr>
                <w:sz w:val="24"/>
              </w:rPr>
              <w:t>5英寸，</w:t>
            </w:r>
            <w:r>
              <w:rPr>
                <w:sz w:val="24"/>
              </w:rPr>
              <w:t>转运模块</w:t>
            </w:r>
            <w:r>
              <w:rPr>
                <w:sz w:val="24"/>
              </w:rPr>
              <w:t>内置</w:t>
            </w:r>
            <w:r>
              <w:rPr>
                <w:sz w:val="24"/>
              </w:rPr>
              <w:t>锂</w:t>
            </w:r>
            <w:r>
              <w:rPr>
                <w:sz w:val="24"/>
              </w:rPr>
              <w:t>电池供电</w:t>
            </w:r>
            <w:r>
              <w:rPr>
                <w:sz w:val="24"/>
              </w:rPr>
              <w:t>≥4小时，无风扇设计</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ECG支持3/5导心电监测</w:t>
            </w:r>
            <w:r>
              <w:rPr>
                <w:sz w:val="24"/>
              </w:rPr>
              <w:t>，</w:t>
            </w:r>
            <w:r>
              <w:rPr>
                <w:sz w:val="24"/>
              </w:rPr>
              <w:t>具有导联脱落检测功能</w:t>
            </w:r>
            <w:r>
              <w:rPr>
                <w:sz w:val="24"/>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支持室上性心动过速和</w:t>
            </w:r>
            <w:r>
              <w:rPr>
                <w:sz w:val="24"/>
              </w:rPr>
              <w:t>SVCs/min等室上性心律失常分析</w:t>
            </w:r>
            <w:r>
              <w:rPr>
                <w:sz w:val="24"/>
              </w:rPr>
              <w:t>。</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tc>
        <w:tc>
          <w:tcPr>
            <w:tcW w:type="dxa" w:w="415"/>
          </w:tcPr>
          <w:p>
            <w:pPr>
              <w:pStyle w:val="null3"/>
            </w:pPr>
            <w:r>
              <w:rPr/>
              <w:t>7</w:t>
            </w:r>
          </w:p>
        </w:tc>
        <w:tc>
          <w:tcPr>
            <w:tcW w:type="dxa" w:w="5814"/>
          </w:tcPr>
          <w:p>
            <w:pPr>
              <w:pStyle w:val="null3"/>
            </w:pPr>
            <w:r>
              <w:rPr>
                <w:sz w:val="24"/>
              </w:rPr>
              <w:t>心电支持</w:t>
            </w:r>
            <w:r>
              <w:rPr>
                <w:sz w:val="24"/>
              </w:rPr>
              <w:t>≥</w:t>
            </w:r>
            <w:r>
              <w:rPr>
                <w:sz w:val="24"/>
              </w:rPr>
              <w:t>3</w:t>
            </w:r>
            <w:r>
              <w:rPr>
                <w:sz w:val="24"/>
              </w:rPr>
              <w:t>个分析导联实时动态同步分析</w:t>
            </w:r>
            <w:r>
              <w:rPr>
                <w:sz w:val="24"/>
              </w:rPr>
              <w:t>。</w:t>
            </w:r>
          </w:p>
        </w:tc>
      </w:tr>
      <w:tr>
        <w:tc>
          <w:tcPr>
            <w:tcW w:type="dxa" w:w="2076"/>
          </w:tcPr>
          <w:p/>
        </w:tc>
        <w:tc>
          <w:tcPr>
            <w:tcW w:type="dxa" w:w="415"/>
          </w:tcPr>
          <w:p>
            <w:pPr>
              <w:pStyle w:val="null3"/>
            </w:pPr>
            <w:r>
              <w:rPr/>
              <w:t>8</w:t>
            </w:r>
          </w:p>
        </w:tc>
        <w:tc>
          <w:tcPr>
            <w:tcW w:type="dxa" w:w="5814"/>
          </w:tcPr>
          <w:p>
            <w:pPr>
              <w:pStyle w:val="null3"/>
            </w:pPr>
            <w:r>
              <w:rPr>
                <w:sz w:val="24"/>
              </w:rPr>
              <w:t>支持房室传导阻滞心律失常分析</w:t>
            </w:r>
            <w:r>
              <w:rPr>
                <w:sz w:val="24"/>
              </w:rPr>
              <w:t>。</w:t>
            </w:r>
          </w:p>
        </w:tc>
      </w:tr>
      <w:tr>
        <w:tc>
          <w:tcPr>
            <w:tcW w:type="dxa" w:w="2076"/>
          </w:tcPr>
          <w:p/>
        </w:tc>
        <w:tc>
          <w:tcPr>
            <w:tcW w:type="dxa" w:w="415"/>
          </w:tcPr>
          <w:p>
            <w:pPr>
              <w:pStyle w:val="null3"/>
            </w:pPr>
            <w:r>
              <w:rPr/>
              <w:t>9</w:t>
            </w:r>
          </w:p>
        </w:tc>
        <w:tc>
          <w:tcPr>
            <w:tcW w:type="dxa" w:w="5814"/>
          </w:tcPr>
          <w:p>
            <w:pPr>
              <w:pStyle w:val="null3"/>
            </w:pPr>
            <w:r>
              <w:rPr>
                <w:sz w:val="24"/>
              </w:rPr>
              <w:t>提供</w:t>
            </w:r>
            <w:r>
              <w:rPr>
                <w:sz w:val="24"/>
              </w:rPr>
              <w:t>ST段分析功能，适用于成人，小儿和新生儿</w:t>
            </w:r>
            <w:r>
              <w:rPr>
                <w:sz w:val="24"/>
              </w:rPr>
              <w:t>。</w:t>
            </w:r>
          </w:p>
        </w:tc>
      </w:tr>
      <w:tr>
        <w:tc>
          <w:tcPr>
            <w:tcW w:type="dxa" w:w="2076"/>
          </w:tcPr>
          <w:p/>
        </w:tc>
        <w:tc>
          <w:tcPr>
            <w:tcW w:type="dxa" w:w="415"/>
          </w:tcPr>
          <w:p>
            <w:pPr>
              <w:pStyle w:val="null3"/>
            </w:pPr>
            <w:r>
              <w:rPr/>
              <w:t>10</w:t>
            </w:r>
          </w:p>
        </w:tc>
        <w:tc>
          <w:tcPr>
            <w:tcW w:type="dxa" w:w="5814"/>
          </w:tcPr>
          <w:p>
            <w:pPr>
              <w:pStyle w:val="null3"/>
            </w:pPr>
            <w:r>
              <w:rPr>
                <w:sz w:val="24"/>
              </w:rPr>
              <w:t>支持</w:t>
            </w:r>
            <w:r>
              <w:rPr>
                <w:sz w:val="24"/>
              </w:rPr>
              <w:t>QT和QTc</w:t>
            </w:r>
            <w:r>
              <w:rPr>
                <w:sz w:val="24"/>
              </w:rPr>
              <w:t>测量功能，提供</w:t>
            </w:r>
            <w:r>
              <w:rPr>
                <w:sz w:val="24"/>
              </w:rPr>
              <w:t>QT、</w:t>
            </w:r>
            <w:r>
              <w:rPr>
                <w:sz w:val="24"/>
              </w:rPr>
              <w:t>QTc</w:t>
            </w:r>
            <w:r>
              <w:rPr>
                <w:sz w:val="24"/>
              </w:rPr>
              <w:t>参考值</w:t>
            </w:r>
            <w:r>
              <w:rPr>
                <w:sz w:val="24"/>
              </w:rPr>
              <w:t>。</w:t>
            </w:r>
          </w:p>
        </w:tc>
      </w:tr>
      <w:tr>
        <w:tc>
          <w:tcPr>
            <w:tcW w:type="dxa" w:w="2076"/>
          </w:tcPr>
          <w:p/>
        </w:tc>
        <w:tc>
          <w:tcPr>
            <w:tcW w:type="dxa" w:w="415"/>
          </w:tcPr>
          <w:p>
            <w:pPr>
              <w:pStyle w:val="null3"/>
            </w:pPr>
            <w:r>
              <w:rPr/>
              <w:t>11</w:t>
            </w:r>
          </w:p>
        </w:tc>
        <w:tc>
          <w:tcPr>
            <w:tcW w:type="dxa" w:w="5814"/>
          </w:tcPr>
          <w:p>
            <w:pPr>
              <w:pStyle w:val="null3"/>
            </w:pPr>
            <w:r>
              <w:rPr>
                <w:sz w:val="24"/>
              </w:rPr>
              <w:t>支持</w:t>
            </w:r>
            <w:r>
              <w:rPr>
                <w:sz w:val="24"/>
              </w:rPr>
              <w:t>HRV（心率变异性）分析，可在监护仪上查看R-R 间期(ms)、SDNN(ms)、SDANN（ms)、SDNNIndex(ms)、Triangle Index、rMSSD(ms)、pNN50(%)、TP、VLF、LF、HF、LF/HF 比值、Lfnu、HFnu 等参数信息</w:t>
            </w:r>
            <w:r>
              <w:rPr>
                <w:sz w:val="24"/>
              </w:rPr>
              <w:t>。</w:t>
            </w:r>
            <w:r>
              <w:rPr>
                <w:sz w:val="24"/>
                <w:b/>
              </w:rPr>
              <w:t>（需提供产品说明书相关页或技术白皮书相关页或</w:t>
            </w:r>
            <w:r>
              <w:rPr>
                <w:sz w:val="24"/>
                <w:b/>
              </w:rPr>
              <w:t>医疗器械</w:t>
            </w:r>
            <w:r>
              <w:rPr>
                <w:sz w:val="24"/>
                <w:b/>
              </w:rPr>
              <w:t>注册证或</w:t>
            </w:r>
            <w:r>
              <w:rPr>
                <w:sz w:val="24"/>
                <w:b/>
              </w:rPr>
              <w:t>医疗器械</w:t>
            </w:r>
            <w:r>
              <w:rPr>
                <w:sz w:val="24"/>
                <w:b/>
              </w:rPr>
              <w:t>注册证附件或检验报告或产品功能截图等证明资料）</w:t>
            </w:r>
          </w:p>
        </w:tc>
      </w:tr>
      <w:tr>
        <w:tc>
          <w:tcPr>
            <w:tcW w:type="dxa" w:w="2076"/>
          </w:tcPr>
          <w:p/>
        </w:tc>
        <w:tc>
          <w:tcPr>
            <w:tcW w:type="dxa" w:w="415"/>
          </w:tcPr>
          <w:p>
            <w:pPr>
              <w:pStyle w:val="null3"/>
            </w:pPr>
            <w:r>
              <w:rPr/>
              <w:t>12</w:t>
            </w:r>
          </w:p>
        </w:tc>
        <w:tc>
          <w:tcPr>
            <w:tcW w:type="dxa" w:w="5814"/>
          </w:tcPr>
          <w:p>
            <w:pPr>
              <w:pStyle w:val="null3"/>
            </w:pPr>
            <w:r>
              <w:rPr>
                <w:sz w:val="24"/>
              </w:rPr>
              <w:t>支持</w:t>
            </w:r>
            <w:r>
              <w:rPr>
                <w:sz w:val="24"/>
              </w:rPr>
              <w:t>≥</w:t>
            </w:r>
            <w:r>
              <w:rPr>
                <w:sz w:val="24"/>
              </w:rPr>
              <w:t>6道</w:t>
            </w:r>
            <w:r>
              <w:rPr>
                <w:sz w:val="24"/>
              </w:rPr>
              <w:t>有创压</w:t>
            </w:r>
            <w:r>
              <w:rPr>
                <w:sz w:val="24"/>
              </w:rPr>
              <w:t>波形叠加显示</w:t>
            </w:r>
            <w:r>
              <w:rPr>
                <w:sz w:val="24"/>
              </w:rPr>
              <w:t>。</w:t>
            </w:r>
          </w:p>
        </w:tc>
      </w:tr>
      <w:tr>
        <w:tc>
          <w:tcPr>
            <w:tcW w:type="dxa" w:w="2076"/>
          </w:tcPr>
          <w:p/>
        </w:tc>
        <w:tc>
          <w:tcPr>
            <w:tcW w:type="dxa" w:w="415"/>
          </w:tcPr>
          <w:p>
            <w:pPr>
              <w:pStyle w:val="null3"/>
            </w:pPr>
            <w:r>
              <w:rPr/>
              <w:t>13</w:t>
            </w:r>
          </w:p>
        </w:tc>
        <w:tc>
          <w:tcPr>
            <w:tcW w:type="dxa" w:w="5814"/>
          </w:tcPr>
          <w:p>
            <w:pPr>
              <w:pStyle w:val="null3"/>
            </w:pPr>
            <w:r>
              <w:rPr>
                <w:sz w:val="24"/>
              </w:rPr>
              <w:t>有创压支持</w:t>
            </w:r>
            <w:r>
              <w:rPr>
                <w:sz w:val="24"/>
              </w:rPr>
              <w:t>SPV(收缩压变异性），IAP（腹内压）, APP（腹内灌注压）监测</w:t>
            </w:r>
            <w:r>
              <w:rPr>
                <w:sz w:val="24"/>
              </w:rPr>
              <w:t>。</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4"/>
              </w:rPr>
              <w:t>配置麻醉气体（</w:t>
            </w:r>
            <w:r>
              <w:rPr>
                <w:sz w:val="24"/>
              </w:rPr>
              <w:t>AG）监测模块，支持对麻醉气体及EtCO</w:t>
            </w:r>
            <w:r>
              <w:rPr>
                <w:sz w:val="24"/>
                <w:vertAlign w:val="subscript"/>
              </w:rPr>
              <w:t>2</w:t>
            </w:r>
            <w:r>
              <w:rPr>
                <w:sz w:val="24"/>
              </w:rPr>
              <w:t>的监测；</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4"/>
              </w:rPr>
              <w:t>配置麻醉深度</w:t>
            </w:r>
            <w:r>
              <w:rPr>
                <w:sz w:val="24"/>
              </w:rPr>
              <w:t>BIS或脑电麻醉深度指数ESI，支持测单侧脑麻醉深度时可显示DSA界面</w:t>
            </w:r>
            <w:r>
              <w:rPr>
                <w:sz w:val="24"/>
              </w:rPr>
              <w:t>。</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rPr>
              <w:t>配置</w:t>
            </w:r>
            <w:r>
              <w:rPr>
                <w:sz w:val="24"/>
              </w:rPr>
              <w:t>微创连续血流动力学</w:t>
            </w:r>
            <w:r>
              <w:rPr>
                <w:sz w:val="24"/>
              </w:rPr>
              <w:t>（</w:t>
            </w:r>
            <w:r>
              <w:rPr>
                <w:sz w:val="24"/>
              </w:rPr>
              <w:t>PiCCO</w:t>
            </w:r>
            <w:r>
              <w:rPr>
                <w:sz w:val="24"/>
              </w:rPr>
              <w:t>）</w:t>
            </w:r>
            <w:r>
              <w:rPr>
                <w:sz w:val="24"/>
              </w:rPr>
              <w:t>监测模块</w:t>
            </w:r>
            <w:r>
              <w:rPr>
                <w:sz w:val="24"/>
              </w:rPr>
              <w:t>，实现</w:t>
            </w:r>
            <w:r>
              <w:rPr>
                <w:sz w:val="24"/>
              </w:rPr>
              <w:t>CCO连续心排量、SVV每搏变异量</w:t>
            </w:r>
            <w:r>
              <w:rPr>
                <w:sz w:val="24"/>
              </w:rPr>
              <w:t>和血管外肺水（</w:t>
            </w:r>
            <w:r>
              <w:rPr>
                <w:sz w:val="24"/>
              </w:rPr>
              <w:t>EVLW）</w:t>
            </w:r>
            <w:r>
              <w:rPr>
                <w:sz w:val="24"/>
              </w:rPr>
              <w:t>等血液动力学监测参数</w:t>
            </w:r>
            <w:r>
              <w:rPr>
                <w:sz w:val="24"/>
              </w:rPr>
              <w:t>。</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4"/>
              </w:rPr>
              <w:t>配备</w:t>
            </w:r>
            <w:r>
              <w:rPr>
                <w:sz w:val="24"/>
              </w:rPr>
              <w:t>C.O.检测模块，测量心输出量能够了解心脏的泵血功能，计算心脏做功及体循环和肺血管阻力。</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tc>
        <w:tc>
          <w:tcPr>
            <w:tcW w:type="dxa" w:w="415"/>
          </w:tcPr>
          <w:p>
            <w:pPr>
              <w:pStyle w:val="null3"/>
            </w:pPr>
            <w:r>
              <w:rPr/>
              <w:t>18</w:t>
            </w:r>
          </w:p>
        </w:tc>
        <w:tc>
          <w:tcPr>
            <w:tcW w:type="dxa" w:w="5814"/>
          </w:tcPr>
          <w:p>
            <w:pPr>
              <w:pStyle w:val="null3"/>
            </w:pPr>
            <w:r>
              <w:rPr>
                <w:sz w:val="24"/>
              </w:rPr>
              <w:t>非漂浮导管热稀释法或无创阻抗法，提供连续心排量（</w:t>
            </w:r>
            <w:r>
              <w:rPr>
                <w:sz w:val="24"/>
              </w:rPr>
              <w:t>CCO），每搏量变异（SVV），实时外周血管阻力（SVR）等监测参数，满足连续血流动力学监测需求</w:t>
            </w:r>
            <w:r>
              <w:rPr>
                <w:sz w:val="24"/>
              </w:rPr>
              <w:t>。</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4"/>
              </w:rPr>
              <w:t>配置</w:t>
            </w:r>
            <w:r>
              <w:rPr>
                <w:sz w:val="24"/>
              </w:rPr>
              <w:t>rSO</w:t>
            </w:r>
            <w:r>
              <w:rPr>
                <w:sz w:val="24"/>
                <w:vertAlign w:val="subscript"/>
              </w:rPr>
              <w:t>2</w:t>
            </w:r>
            <w:r>
              <w:rPr>
                <w:sz w:val="24"/>
              </w:rPr>
              <w:t>模块</w:t>
            </w:r>
            <w:r>
              <w:rPr>
                <w:sz w:val="24"/>
              </w:rPr>
              <w:t>或单机</w:t>
            </w:r>
            <w:r>
              <w:rPr>
                <w:sz w:val="24"/>
              </w:rPr>
              <w:t>实现脑部血氧饱和度监测，适用于成人、小儿，支持</w:t>
            </w:r>
            <w:r>
              <w:rPr>
                <w:sz w:val="24"/>
              </w:rPr>
              <w:t>≥</w:t>
            </w:r>
            <w:r>
              <w:rPr>
                <w:sz w:val="24"/>
              </w:rPr>
              <w:t>4</w:t>
            </w:r>
            <w:r>
              <w:rPr>
                <w:sz w:val="24"/>
              </w:rPr>
              <w:t>通道的</w:t>
            </w:r>
            <w:r>
              <w:rPr>
                <w:sz w:val="24"/>
              </w:rPr>
              <w:t xml:space="preserve"> rSO</w:t>
            </w:r>
            <w:r>
              <w:rPr>
                <w:sz w:val="24"/>
                <w:vertAlign w:val="subscript"/>
              </w:rPr>
              <w:t xml:space="preserve">2 </w:t>
            </w:r>
            <w:r>
              <w:rPr>
                <w:sz w:val="24"/>
              </w:rPr>
              <w:t>测量</w:t>
            </w:r>
            <w:r>
              <w:rPr>
                <w:sz w:val="24"/>
              </w:rPr>
              <w:t>。</w:t>
            </w:r>
            <w:r>
              <w:rPr>
                <w:sz w:val="24"/>
                <w:b/>
              </w:rPr>
              <w:t>（需提供产品说明书相关页或技术白皮书相关页或</w:t>
            </w:r>
            <w:r>
              <w:rPr>
                <w:sz w:val="24"/>
              </w:rPr>
              <w:t>医疗器械</w:t>
            </w:r>
            <w:r>
              <w:rPr>
                <w:sz w:val="24"/>
                <w:b/>
              </w:rPr>
              <w:t>注册证或</w:t>
            </w:r>
            <w:r>
              <w:rPr>
                <w:sz w:val="24"/>
              </w:rPr>
              <w:t>医疗器械</w:t>
            </w:r>
            <w:r>
              <w:rPr>
                <w:sz w:val="24"/>
                <w:b/>
              </w:rPr>
              <w:t>注册证附件或检验报告或产品功能截图等证明资料）</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4"/>
              </w:rPr>
              <w:t>配置的</w:t>
            </w:r>
            <w:r>
              <w:rPr>
                <w:sz w:val="24"/>
              </w:rPr>
              <w:t>rSO</w:t>
            </w:r>
            <w:r>
              <w:rPr>
                <w:sz w:val="24"/>
                <w:vertAlign w:val="subscript"/>
              </w:rPr>
              <w:t>2</w:t>
            </w:r>
            <w:r>
              <w:rPr>
                <w:sz w:val="24"/>
              </w:rPr>
              <w:t>模块</w:t>
            </w:r>
            <w:r>
              <w:rPr>
                <w:sz w:val="24"/>
              </w:rPr>
              <w:t>或单机</w:t>
            </w:r>
            <w:r>
              <w:rPr>
                <w:sz w:val="24"/>
              </w:rPr>
              <w:t>实现脑部血氧饱和度监测</w:t>
            </w:r>
            <w:r>
              <w:rPr>
                <w:sz w:val="24"/>
              </w:rPr>
              <w:t>，</w:t>
            </w:r>
            <w:r>
              <w:rPr>
                <w:sz w:val="24"/>
              </w:rPr>
              <w:t>不需使用一次性传感器耗材。</w:t>
            </w:r>
          </w:p>
        </w:tc>
      </w:tr>
      <w:tr>
        <w:tc>
          <w:tcPr>
            <w:tcW w:type="dxa" w:w="2076"/>
          </w:tcPr>
          <w:p/>
        </w:tc>
        <w:tc>
          <w:tcPr>
            <w:tcW w:type="dxa" w:w="415"/>
          </w:tcPr>
          <w:p>
            <w:pPr>
              <w:pStyle w:val="null3"/>
            </w:pPr>
            <w:r>
              <w:rPr/>
              <w:t>21</w:t>
            </w:r>
          </w:p>
        </w:tc>
        <w:tc>
          <w:tcPr>
            <w:tcW w:type="dxa" w:w="5814"/>
          </w:tcPr>
          <w:p>
            <w:pPr>
              <w:pStyle w:val="null3"/>
            </w:pPr>
            <w:r>
              <w:rPr>
                <w:sz w:val="24"/>
              </w:rPr>
              <w:t>具有图形化报警指示功能，报警升级功能</w:t>
            </w:r>
            <w:r>
              <w:rPr>
                <w:sz w:val="24"/>
              </w:rPr>
              <w:t>。</w:t>
            </w:r>
          </w:p>
        </w:tc>
      </w:tr>
      <w:tr>
        <w:tc>
          <w:tcPr>
            <w:tcW w:type="dxa" w:w="2076"/>
          </w:tcPr>
          <w:p/>
        </w:tc>
        <w:tc>
          <w:tcPr>
            <w:tcW w:type="dxa" w:w="415"/>
          </w:tcPr>
          <w:p>
            <w:pPr>
              <w:pStyle w:val="null3"/>
            </w:pPr>
            <w:r>
              <w:rPr/>
              <w:t>22</w:t>
            </w:r>
          </w:p>
        </w:tc>
        <w:tc>
          <w:tcPr>
            <w:tcW w:type="dxa" w:w="5814"/>
          </w:tcPr>
          <w:p>
            <w:pPr>
              <w:pStyle w:val="null3"/>
            </w:pPr>
            <w:r>
              <w:rPr>
                <w:sz w:val="24"/>
              </w:rPr>
              <w:t>具有特殊报警音</w:t>
            </w:r>
            <w:r>
              <w:rPr>
                <w:sz w:val="24"/>
              </w:rPr>
              <w:t>。</w:t>
            </w:r>
          </w:p>
        </w:tc>
      </w:tr>
      <w:tr>
        <w:tc>
          <w:tcPr>
            <w:tcW w:type="dxa" w:w="2076"/>
          </w:tcPr>
          <w:p/>
        </w:tc>
        <w:tc>
          <w:tcPr>
            <w:tcW w:type="dxa" w:w="415"/>
          </w:tcPr>
          <w:p>
            <w:pPr>
              <w:pStyle w:val="null3"/>
            </w:pPr>
            <w:r>
              <w:rPr/>
              <w:t>23</w:t>
            </w:r>
          </w:p>
        </w:tc>
        <w:tc>
          <w:tcPr>
            <w:tcW w:type="dxa" w:w="5814"/>
          </w:tcPr>
          <w:p>
            <w:pPr>
              <w:pStyle w:val="null3"/>
            </w:pPr>
            <w:r>
              <w:rPr>
                <w:sz w:val="24"/>
              </w:rPr>
              <w:t>支持自动推送推荐报警限</w:t>
            </w:r>
            <w:r>
              <w:rPr>
                <w:sz w:val="24"/>
              </w:rPr>
              <w:t>。</w:t>
            </w:r>
          </w:p>
        </w:tc>
      </w:tr>
      <w:tr>
        <w:tc>
          <w:tcPr>
            <w:tcW w:type="dxa" w:w="2076"/>
          </w:tcPr>
          <w:p/>
        </w:tc>
        <w:tc>
          <w:tcPr>
            <w:tcW w:type="dxa" w:w="415"/>
          </w:tcPr>
          <w:p>
            <w:pPr>
              <w:pStyle w:val="null3"/>
            </w:pPr>
            <w:r>
              <w:rPr/>
              <w:t>24</w:t>
            </w:r>
          </w:p>
        </w:tc>
        <w:tc>
          <w:tcPr>
            <w:tcW w:type="dxa" w:w="5814"/>
          </w:tcPr>
          <w:p>
            <w:pPr>
              <w:pStyle w:val="null3"/>
            </w:pPr>
            <w:r>
              <w:rPr>
                <w:sz w:val="24"/>
              </w:rPr>
              <w:t>具备参数组合报警功能，提供</w:t>
            </w:r>
            <w:r>
              <w:rPr>
                <w:sz w:val="24"/>
              </w:rPr>
              <w:t>≥</w:t>
            </w:r>
            <w:r>
              <w:rPr>
                <w:sz w:val="24"/>
              </w:rPr>
              <w:t>5</w:t>
            </w:r>
            <w:r>
              <w:rPr>
                <w:sz w:val="24"/>
              </w:rPr>
              <w:t>个预设组合报警，并允许自定义</w:t>
            </w:r>
            <w:r>
              <w:rPr>
                <w:sz w:val="24"/>
              </w:rPr>
              <w:t>≥</w:t>
            </w:r>
            <w:r>
              <w:rPr>
                <w:sz w:val="24"/>
              </w:rPr>
              <w:t>5</w:t>
            </w:r>
            <w:r>
              <w:rPr>
                <w:sz w:val="24"/>
              </w:rPr>
              <w:t>个组合报警</w:t>
            </w:r>
            <w:r>
              <w:rPr>
                <w:sz w:val="24"/>
              </w:rPr>
              <w:t>。</w:t>
            </w:r>
          </w:p>
        </w:tc>
      </w:tr>
      <w:tr>
        <w:tc>
          <w:tcPr>
            <w:tcW w:type="dxa" w:w="2076"/>
          </w:tcPr>
          <w:p/>
        </w:tc>
        <w:tc>
          <w:tcPr>
            <w:tcW w:type="dxa" w:w="415"/>
          </w:tcPr>
          <w:p>
            <w:pPr>
              <w:pStyle w:val="null3"/>
            </w:pPr>
            <w:r>
              <w:rPr/>
              <w:t>25</w:t>
            </w:r>
          </w:p>
        </w:tc>
        <w:tc>
          <w:tcPr>
            <w:tcW w:type="dxa" w:w="5814"/>
          </w:tcPr>
          <w:p>
            <w:pPr>
              <w:pStyle w:val="null3"/>
            </w:pPr>
            <w:r>
              <w:rPr>
                <w:sz w:val="24"/>
              </w:rPr>
              <w:t>标配具备血流动力学，药物计算，氧合计算，通气计算功能</w:t>
            </w:r>
            <w:r>
              <w:rPr>
                <w:sz w:val="24"/>
              </w:rPr>
              <w:t>。</w:t>
            </w:r>
          </w:p>
        </w:tc>
      </w:tr>
      <w:tr>
        <w:tc>
          <w:tcPr>
            <w:tcW w:type="dxa" w:w="2076"/>
          </w:tcPr>
          <w:p/>
        </w:tc>
        <w:tc>
          <w:tcPr>
            <w:tcW w:type="dxa" w:w="415"/>
          </w:tcPr>
          <w:p>
            <w:pPr>
              <w:pStyle w:val="null3"/>
            </w:pPr>
            <w:r>
              <w:rPr/>
              <w:t>26</w:t>
            </w:r>
          </w:p>
        </w:tc>
        <w:tc>
          <w:tcPr>
            <w:tcW w:type="dxa" w:w="5814"/>
          </w:tcPr>
          <w:p>
            <w:pPr>
              <w:pStyle w:val="null3"/>
            </w:pPr>
            <w:r>
              <w:rPr>
                <w:sz w:val="24"/>
              </w:rPr>
              <w:t>配备</w:t>
            </w:r>
            <w:r>
              <w:rPr>
                <w:sz w:val="24"/>
              </w:rPr>
              <w:t>血流动力学软件工具，显示完整血流动力学参数，并以图形化界面显示病人心脏收缩力，外周血管阻力等状态，提供电子化血流动力学实验记录，重点参数</w:t>
            </w:r>
            <w:r>
              <w:rPr>
                <w:sz w:val="24"/>
              </w:rPr>
              <w:t>图形化显示</w:t>
            </w:r>
            <w:r>
              <w:rPr>
                <w:sz w:val="24"/>
              </w:rPr>
              <w:t>评估病人相关参数变化</w:t>
            </w:r>
            <w:r>
              <w:rPr>
                <w:sz w:val="24"/>
              </w:rPr>
              <w:t>。</w:t>
            </w:r>
          </w:p>
        </w:tc>
      </w:tr>
      <w:tr>
        <w:tc>
          <w:tcPr>
            <w:tcW w:type="dxa" w:w="2076"/>
          </w:tcPr>
          <w:p/>
        </w:tc>
        <w:tc>
          <w:tcPr>
            <w:tcW w:type="dxa" w:w="415"/>
          </w:tcPr>
          <w:p>
            <w:pPr>
              <w:pStyle w:val="null3"/>
            </w:pPr>
            <w:r>
              <w:rPr/>
              <w:t>27</w:t>
            </w:r>
          </w:p>
        </w:tc>
        <w:tc>
          <w:tcPr>
            <w:tcW w:type="dxa" w:w="5814"/>
          </w:tcPr>
          <w:p>
            <w:pPr>
              <w:pStyle w:val="null3"/>
            </w:pPr>
            <w:r>
              <w:rPr>
                <w:sz w:val="24"/>
              </w:rPr>
              <w:t>支持</w:t>
            </w:r>
            <w:r>
              <w:rPr>
                <w:sz w:val="24"/>
              </w:rPr>
              <w:t>≥</w:t>
            </w:r>
            <w:r>
              <w:rPr>
                <w:sz w:val="24"/>
              </w:rPr>
              <w:t>168小时趋势表和趋势图回顾，最小分辨率1分钟</w:t>
            </w:r>
            <w:r>
              <w:rPr>
                <w:sz w:val="24"/>
              </w:rPr>
              <w:t>。</w:t>
            </w:r>
          </w:p>
        </w:tc>
      </w:tr>
      <w:tr>
        <w:tc>
          <w:tcPr>
            <w:tcW w:type="dxa" w:w="2076"/>
          </w:tcPr>
          <w:p/>
        </w:tc>
        <w:tc>
          <w:tcPr>
            <w:tcW w:type="dxa" w:w="415"/>
          </w:tcPr>
          <w:p>
            <w:pPr>
              <w:pStyle w:val="null3"/>
            </w:pPr>
            <w:r>
              <w:rPr/>
              <w:t>28</w:t>
            </w:r>
          </w:p>
        </w:tc>
        <w:tc>
          <w:tcPr>
            <w:tcW w:type="dxa" w:w="5814"/>
          </w:tcPr>
          <w:p>
            <w:pPr>
              <w:pStyle w:val="null3"/>
            </w:pPr>
            <w:r>
              <w:rPr>
                <w:sz w:val="24"/>
              </w:rPr>
              <w:t>支持</w:t>
            </w:r>
            <w:r>
              <w:rPr>
                <w:sz w:val="24"/>
              </w:rPr>
              <w:t>≥</w:t>
            </w:r>
            <w:r>
              <w:rPr>
                <w:sz w:val="24"/>
              </w:rPr>
              <w:t>3000条事件回顾。每条报警事件至少能够存储32秒三道相关波形，以及报警触发时所有测量参数值</w:t>
            </w:r>
            <w:r>
              <w:rPr>
                <w:sz w:val="24"/>
              </w:rPr>
              <w:t>。</w:t>
            </w:r>
          </w:p>
        </w:tc>
      </w:tr>
      <w:tr>
        <w:tc>
          <w:tcPr>
            <w:tcW w:type="dxa" w:w="2076"/>
          </w:tcPr>
          <w:p/>
        </w:tc>
        <w:tc>
          <w:tcPr>
            <w:tcW w:type="dxa" w:w="415"/>
          </w:tcPr>
          <w:p>
            <w:pPr>
              <w:pStyle w:val="null3"/>
            </w:pPr>
            <w:r>
              <w:rPr/>
              <w:t>29</w:t>
            </w:r>
          </w:p>
        </w:tc>
        <w:tc>
          <w:tcPr>
            <w:tcW w:type="dxa" w:w="5814"/>
          </w:tcPr>
          <w:p>
            <w:pPr>
              <w:pStyle w:val="null3"/>
            </w:pPr>
            <w:r>
              <w:rPr>
                <w:sz w:val="24"/>
              </w:rPr>
              <w:t>具备</w:t>
            </w:r>
            <w:r>
              <w:rPr>
                <w:sz w:val="24"/>
              </w:rPr>
              <w:t>≥</w:t>
            </w:r>
            <w:r>
              <w:rPr>
                <w:sz w:val="24"/>
              </w:rPr>
              <w:t>72小时全息波形的存储与回顾功能</w:t>
            </w:r>
            <w:r>
              <w:rPr>
                <w:sz w:val="24"/>
              </w:rPr>
              <w:t>。</w:t>
            </w:r>
          </w:p>
        </w:tc>
      </w:tr>
      <w:tr>
        <w:tc>
          <w:tcPr>
            <w:tcW w:type="dxa" w:w="2076"/>
          </w:tcPr>
          <w:p/>
        </w:tc>
        <w:tc>
          <w:tcPr>
            <w:tcW w:type="dxa" w:w="415"/>
          </w:tcPr>
          <w:p>
            <w:pPr>
              <w:pStyle w:val="null3"/>
            </w:pPr>
            <w:r>
              <w:rPr/>
              <w:t>30</w:t>
            </w:r>
          </w:p>
        </w:tc>
        <w:tc>
          <w:tcPr>
            <w:tcW w:type="dxa" w:w="5814"/>
          </w:tcPr>
          <w:p>
            <w:pPr>
              <w:pStyle w:val="null3"/>
            </w:pPr>
            <w:r>
              <w:rPr>
                <w:sz w:val="24"/>
              </w:rPr>
              <w:t>支持</w:t>
            </w:r>
            <w:r>
              <w:rPr>
                <w:sz w:val="24"/>
              </w:rPr>
              <w:t>≥120小时（分辨率1分钟）ST模板存储与回顾</w:t>
            </w:r>
            <w:r>
              <w:rPr>
                <w:sz w:val="24"/>
              </w:rPr>
              <w:t>。</w:t>
            </w:r>
          </w:p>
        </w:tc>
      </w:tr>
      <w:tr>
        <w:tc>
          <w:tcPr>
            <w:tcW w:type="dxa" w:w="2076"/>
          </w:tcPr>
          <w:p/>
        </w:tc>
        <w:tc>
          <w:tcPr>
            <w:tcW w:type="dxa" w:w="415"/>
          </w:tcPr>
          <w:p>
            <w:pPr>
              <w:pStyle w:val="null3"/>
            </w:pPr>
            <w:r>
              <w:rPr/>
              <w:t>31</w:t>
            </w:r>
          </w:p>
        </w:tc>
        <w:tc>
          <w:tcPr>
            <w:tcW w:type="dxa" w:w="5814"/>
          </w:tcPr>
          <w:p>
            <w:pPr>
              <w:pStyle w:val="null3"/>
            </w:pPr>
            <w:r>
              <w:rPr>
                <w:sz w:val="24"/>
              </w:rPr>
              <w:t>转运模块可直接充电，无需接入监护仪主机充电。</w:t>
            </w:r>
          </w:p>
        </w:tc>
      </w:tr>
      <w:tr>
        <w:tc>
          <w:tcPr>
            <w:tcW w:type="dxa" w:w="2076"/>
          </w:tcPr>
          <w:p>
            <w:pPr>
              <w:pStyle w:val="null3"/>
            </w:pPr>
            <w:r>
              <w:rPr/>
              <w:t>★</w:t>
            </w:r>
          </w:p>
        </w:tc>
        <w:tc>
          <w:tcPr>
            <w:tcW w:type="dxa" w:w="415"/>
          </w:tcPr>
          <w:p>
            <w:pPr>
              <w:pStyle w:val="null3"/>
            </w:pPr>
            <w:r>
              <w:rPr/>
              <w:t>32</w:t>
            </w:r>
          </w:p>
        </w:tc>
        <w:tc>
          <w:tcPr>
            <w:tcW w:type="dxa" w:w="5814"/>
          </w:tcPr>
          <w:p>
            <w:pPr>
              <w:pStyle w:val="null3"/>
              <w:jc w:val="left"/>
            </w:pPr>
            <w:r>
              <w:rPr>
                <w:sz w:val="24"/>
              </w:rPr>
              <w:t>配置清单</w:t>
            </w:r>
            <w:r>
              <w:rPr>
                <w:sz w:val="24"/>
              </w:rPr>
              <w:t>1（手术室监护仪（1拖8）及便携式转运监护仪）：</w:t>
            </w:r>
            <w:r>
              <w:br/>
            </w:r>
            <w:r>
              <w:rPr>
                <w:sz w:val="24"/>
              </w:rPr>
              <w:t>32.1监护仪主机（含心电、血氧、有创/无创血压、体温模块），8台，配蓄电池</w:t>
            </w:r>
          </w:p>
          <w:p>
            <w:pPr>
              <w:pStyle w:val="null3"/>
              <w:jc w:val="left"/>
            </w:pPr>
            <w:r>
              <w:rPr>
                <w:sz w:val="24"/>
              </w:rPr>
              <w:t xml:space="preserve">32.2 </w:t>
            </w:r>
            <w:r>
              <w:rPr>
                <w:sz w:val="24"/>
              </w:rPr>
              <w:t>转运监护</w:t>
            </w:r>
            <w:r>
              <w:rPr>
                <w:sz w:val="24"/>
              </w:rPr>
              <w:t>模块</w:t>
            </w:r>
            <w:r>
              <w:rPr>
                <w:sz w:val="24"/>
              </w:rPr>
              <w:t>10套，配蓄电池</w:t>
            </w:r>
          </w:p>
          <w:p>
            <w:pPr>
              <w:pStyle w:val="null3"/>
              <w:jc w:val="left"/>
            </w:pPr>
            <w:r>
              <w:rPr>
                <w:sz w:val="24"/>
              </w:rPr>
              <w:t>32.3呼末二氧化碳模块及附件，8套</w:t>
            </w:r>
          </w:p>
          <w:p>
            <w:pPr>
              <w:pStyle w:val="null3"/>
              <w:jc w:val="left"/>
            </w:pPr>
            <w:r>
              <w:rPr>
                <w:sz w:val="24"/>
              </w:rPr>
              <w:t>32.4 PiCCO模块及附件，2套</w:t>
            </w:r>
          </w:p>
          <w:p>
            <w:pPr>
              <w:pStyle w:val="null3"/>
              <w:jc w:val="left"/>
            </w:pPr>
            <w:r>
              <w:rPr>
                <w:sz w:val="24"/>
              </w:rPr>
              <w:t>32.5漂浮导管监测模块及附件，2套</w:t>
            </w:r>
          </w:p>
          <w:p>
            <w:pPr>
              <w:pStyle w:val="null3"/>
              <w:jc w:val="left"/>
            </w:pPr>
            <w:r>
              <w:rPr>
                <w:sz w:val="24"/>
              </w:rPr>
              <w:t>32.6脑氧饱和度监测模块及附件（可单机模式实现），2套</w:t>
            </w:r>
          </w:p>
          <w:p>
            <w:pPr>
              <w:pStyle w:val="null3"/>
              <w:jc w:val="left"/>
            </w:pPr>
            <w:r>
              <w:rPr>
                <w:sz w:val="24"/>
              </w:rPr>
              <w:t>32.7脑电深度意识监测模块及附件，2套</w:t>
            </w:r>
          </w:p>
          <w:p>
            <w:pPr>
              <w:pStyle w:val="null3"/>
              <w:jc w:val="left"/>
            </w:pPr>
            <w:r>
              <w:rPr>
                <w:sz w:val="24"/>
              </w:rPr>
              <w:t>32.8中央工作站，1套</w:t>
            </w:r>
          </w:p>
          <w:p>
            <w:pPr>
              <w:pStyle w:val="null3"/>
              <w:jc w:val="left"/>
            </w:pPr>
            <w:r>
              <w:rPr>
                <w:sz w:val="24"/>
              </w:rPr>
              <w:t>32.9心电附件包，8套</w:t>
            </w:r>
          </w:p>
          <w:p>
            <w:pPr>
              <w:pStyle w:val="null3"/>
              <w:jc w:val="left"/>
            </w:pPr>
            <w:r>
              <w:rPr>
                <w:sz w:val="24"/>
              </w:rPr>
              <w:t>32.10血氧附件包，8套</w:t>
            </w:r>
          </w:p>
          <w:p>
            <w:pPr>
              <w:pStyle w:val="null3"/>
              <w:jc w:val="left"/>
            </w:pPr>
            <w:r>
              <w:rPr>
                <w:sz w:val="24"/>
              </w:rPr>
              <w:t>32.11无创血压附件包，8套</w:t>
            </w:r>
          </w:p>
          <w:p>
            <w:pPr>
              <w:pStyle w:val="null3"/>
              <w:jc w:val="left"/>
            </w:pPr>
            <w:r>
              <w:rPr>
                <w:sz w:val="24"/>
              </w:rPr>
              <w:t>32.12有创血压附件包，16套</w:t>
            </w:r>
          </w:p>
          <w:p>
            <w:pPr>
              <w:pStyle w:val="null3"/>
              <w:jc w:val="left"/>
            </w:pPr>
            <w:r>
              <w:rPr>
                <w:sz w:val="24"/>
              </w:rPr>
              <w:t>32.13麻醉深度或脑电麻醉深度指数耗材，2000套</w:t>
            </w:r>
          </w:p>
          <w:p>
            <w:pPr>
              <w:pStyle w:val="null3"/>
              <w:jc w:val="left"/>
            </w:pPr>
            <w:r>
              <w:rPr>
                <w:sz w:val="24"/>
              </w:rPr>
              <w:t>32.14 电源线，8根</w:t>
            </w:r>
          </w:p>
          <w:p>
            <w:pPr>
              <w:pStyle w:val="null3"/>
              <w:jc w:val="left"/>
            </w:pPr>
            <w:r>
              <w:rPr>
                <w:sz w:val="24"/>
              </w:rPr>
              <w:t>32.15 使用说明书，8份</w:t>
            </w:r>
          </w:p>
          <w:p>
            <w:pPr>
              <w:pStyle w:val="null3"/>
            </w:pPr>
            <w:r>
              <w:rPr>
                <w:sz w:val="24"/>
              </w:rPr>
              <w:t>32.16操作指南卡，8份</w:t>
            </w:r>
          </w:p>
        </w:tc>
      </w:tr>
      <w:tr>
        <w:tc>
          <w:tcPr>
            <w:tcW w:type="dxa" w:w="2076"/>
          </w:tcPr>
          <w:p>
            <w:pPr>
              <w:pStyle w:val="null3"/>
            </w:pPr>
            <w:r>
              <w:rPr/>
              <w:t>★</w:t>
            </w:r>
          </w:p>
        </w:tc>
        <w:tc>
          <w:tcPr>
            <w:tcW w:type="dxa" w:w="415"/>
          </w:tcPr>
          <w:p>
            <w:pPr>
              <w:pStyle w:val="null3"/>
            </w:pPr>
            <w:r>
              <w:rPr/>
              <w:t>33</w:t>
            </w:r>
          </w:p>
        </w:tc>
        <w:tc>
          <w:tcPr>
            <w:tcW w:type="dxa" w:w="5814"/>
          </w:tcPr>
          <w:p>
            <w:pPr>
              <w:pStyle w:val="null3"/>
              <w:jc w:val="both"/>
            </w:pPr>
            <w:r>
              <w:rPr>
                <w:sz w:val="24"/>
              </w:rPr>
              <w:t>配置清单</w:t>
            </w:r>
            <w:r>
              <w:rPr>
                <w:sz w:val="24"/>
              </w:rPr>
              <w:t>2（手术室监护仪（1拖6））：</w:t>
            </w:r>
          </w:p>
          <w:p>
            <w:pPr>
              <w:pStyle w:val="null3"/>
              <w:jc w:val="both"/>
            </w:pPr>
            <w:r>
              <w:rPr>
                <w:sz w:val="24"/>
              </w:rPr>
              <w:t>33.1监护仪主机（含心电、血氧、有创/无创血压、体温模块），6台，配蓄电池</w:t>
            </w:r>
          </w:p>
          <w:p>
            <w:pPr>
              <w:pStyle w:val="null3"/>
              <w:jc w:val="both"/>
            </w:pPr>
            <w:r>
              <w:rPr>
                <w:sz w:val="24"/>
              </w:rPr>
              <w:t>33.2</w:t>
            </w:r>
            <w:r>
              <w:rPr>
                <w:sz w:val="24"/>
              </w:rPr>
              <w:t>转运监护</w:t>
            </w:r>
            <w:r>
              <w:rPr>
                <w:sz w:val="24"/>
              </w:rPr>
              <w:t>模块</w:t>
            </w:r>
            <w:r>
              <w:rPr>
                <w:sz w:val="24"/>
              </w:rPr>
              <w:t>，</w:t>
            </w:r>
            <w:r>
              <w:rPr>
                <w:sz w:val="24"/>
              </w:rPr>
              <w:t>6套，配蓄电池</w:t>
            </w:r>
          </w:p>
          <w:p>
            <w:pPr>
              <w:pStyle w:val="null3"/>
              <w:jc w:val="both"/>
            </w:pPr>
            <w:r>
              <w:rPr>
                <w:sz w:val="24"/>
              </w:rPr>
              <w:t>33.3 AG模块及附件，6套</w:t>
            </w:r>
          </w:p>
          <w:p>
            <w:pPr>
              <w:pStyle w:val="null3"/>
              <w:jc w:val="both"/>
            </w:pPr>
            <w:r>
              <w:rPr>
                <w:sz w:val="24"/>
              </w:rPr>
              <w:t>33.4 PiCCO模块及附件，2套</w:t>
            </w:r>
          </w:p>
          <w:p>
            <w:pPr>
              <w:pStyle w:val="null3"/>
              <w:jc w:val="both"/>
            </w:pPr>
            <w:r>
              <w:rPr>
                <w:sz w:val="24"/>
              </w:rPr>
              <w:t>33.5漂浮导管监测模块及附件，2套</w:t>
            </w:r>
          </w:p>
          <w:p>
            <w:pPr>
              <w:pStyle w:val="null3"/>
              <w:jc w:val="both"/>
            </w:pPr>
            <w:r>
              <w:rPr>
                <w:sz w:val="24"/>
              </w:rPr>
              <w:t>33.6脑氧饱和度监测模块及附件（可单机模式实现），2套</w:t>
            </w:r>
          </w:p>
          <w:p>
            <w:pPr>
              <w:pStyle w:val="null3"/>
              <w:jc w:val="both"/>
            </w:pPr>
            <w:r>
              <w:rPr>
                <w:sz w:val="24"/>
              </w:rPr>
              <w:t>33.7脑电深度意识监测模块及附件，6套</w:t>
            </w:r>
          </w:p>
          <w:p>
            <w:pPr>
              <w:pStyle w:val="null3"/>
              <w:jc w:val="both"/>
            </w:pPr>
            <w:r>
              <w:rPr>
                <w:sz w:val="24"/>
              </w:rPr>
              <w:t>33.8中央工作站，1套</w:t>
            </w:r>
          </w:p>
          <w:p>
            <w:pPr>
              <w:pStyle w:val="null3"/>
              <w:jc w:val="both"/>
            </w:pPr>
            <w:r>
              <w:rPr>
                <w:sz w:val="24"/>
              </w:rPr>
              <w:t>33.9心电附件包，6套</w:t>
            </w:r>
          </w:p>
          <w:p>
            <w:pPr>
              <w:pStyle w:val="null3"/>
              <w:jc w:val="both"/>
            </w:pPr>
            <w:r>
              <w:rPr>
                <w:sz w:val="24"/>
              </w:rPr>
              <w:t>33.10血氧附件包，6套</w:t>
            </w:r>
          </w:p>
          <w:p>
            <w:pPr>
              <w:pStyle w:val="null3"/>
              <w:jc w:val="both"/>
            </w:pPr>
            <w:r>
              <w:rPr>
                <w:sz w:val="24"/>
              </w:rPr>
              <w:t>33.11无创血压附件包，6套</w:t>
            </w:r>
          </w:p>
          <w:p>
            <w:pPr>
              <w:pStyle w:val="null3"/>
              <w:jc w:val="both"/>
            </w:pPr>
            <w:r>
              <w:rPr>
                <w:sz w:val="24"/>
              </w:rPr>
              <w:t>33.12有创血压附件包，12套</w:t>
            </w:r>
          </w:p>
          <w:p>
            <w:pPr>
              <w:pStyle w:val="null3"/>
              <w:jc w:val="both"/>
            </w:pPr>
            <w:r>
              <w:rPr>
                <w:sz w:val="24"/>
              </w:rPr>
              <w:t>33.13 电源线，6根</w:t>
            </w:r>
          </w:p>
          <w:p>
            <w:pPr>
              <w:pStyle w:val="null3"/>
              <w:jc w:val="both"/>
            </w:pPr>
            <w:r>
              <w:rPr>
                <w:sz w:val="24"/>
              </w:rPr>
              <w:t>33.14使用说明书，6份</w:t>
            </w:r>
          </w:p>
          <w:p>
            <w:pPr>
              <w:pStyle w:val="null3"/>
            </w:pPr>
            <w:r>
              <w:rPr>
                <w:sz w:val="24"/>
              </w:rPr>
              <w:t>33.15操作指南卡，6份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采购机构代理服务收费标准：中标/成交供应商须向招标代理机构交纳招标代理服务费，招标代理服务费的收费标准和规定按国家发展计划委员会颁发的国家发改委发改价格(2011)534号文件《国家 发改委关于降低部分建设项目收费标准规范收费行为等有关问题的通知》和[2002]1980号文《 招标代理服务收费管理暂行办法》及《国家发展改革委办公厅关于招标代理服务收费有关问题 的通知》（发改办价格【2003】857号）规定下浮20%执行。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叶小姐、林先生、梁先生</w:t>
      </w:r>
    </w:p>
    <w:p>
      <w:pPr>
        <w:pStyle w:val="null3"/>
        <w:ind w:firstLine="480"/>
      </w:pPr>
      <w:r>
        <w:rPr/>
        <w:t>电话：</w:t>
      </w:r>
      <w:r>
        <w:rPr/>
        <w:t>0760-88619966</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监护仪及便携转运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采购包1（手术监护仪及便携转运监护仪）：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采购包1（手术监护仪及便携转运监护仪）：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供应商须无围标、串标行为。（按招标文件第二章 采购需求中《无围标、串标行为承诺书》格式提供）</w:t>
            </w:r>
          </w:p>
        </w:tc>
      </w:tr>
      <w:tr>
        <w:tc>
          <w:tcPr>
            <w:tcW w:type="dxa" w:w="890"/>
          </w:tcPr>
          <w:p>
            <w:pPr>
              <w:pStyle w:val="null3"/>
            </w:pPr>
            <w:r>
              <w:rPr/>
              <w:t>9</w:t>
            </w:r>
          </w:p>
        </w:tc>
        <w:tc>
          <w:tcPr>
            <w:tcW w:type="dxa" w:w="3178"/>
          </w:tcPr>
          <w:p>
            <w:pPr>
              <w:pStyle w:val="null3"/>
            </w:pPr>
            <w:r>
              <w:rPr/>
              <w:t>特定资格</w:t>
            </w:r>
          </w:p>
        </w:tc>
        <w:tc>
          <w:tcPr>
            <w:tcW w:type="dxa" w:w="4238"/>
          </w:tcPr>
          <w:p>
            <w:pPr>
              <w:pStyle w:val="null3"/>
            </w:pPr>
            <w:r>
              <w:rPr/>
              <w:t>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tc>
      </w:tr>
      <w:tr>
        <w:tc>
          <w:tcPr>
            <w:tcW w:type="dxa" w:w="890"/>
          </w:tcPr>
          <w:p>
            <w:pPr>
              <w:pStyle w:val="null3"/>
            </w:pPr>
            <w:r>
              <w:rPr/>
              <w:t>10</w:t>
            </w:r>
          </w:p>
        </w:tc>
        <w:tc>
          <w:tcPr>
            <w:tcW w:type="dxa" w:w="3178"/>
          </w:tcPr>
          <w:p>
            <w:pPr>
              <w:pStyle w:val="null3"/>
            </w:pPr>
            <w:r>
              <w:rPr/>
              <w:t>本项目非专门面向中小企业采购</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采购包1（手术监护仪及便携转运监护仪）：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采购包1(手术监护仪及便携转运监护仪):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一般技术条款响应程度 (23.0分)</w:t>
            </w:r>
          </w:p>
        </w:tc>
        <w:tc>
          <w:tcPr>
            <w:tcW w:type="dxa" w:w="5076"/>
          </w:tcPr>
          <w:p>
            <w:pPr>
              <w:pStyle w:val="null3"/>
              <w:jc w:val="left"/>
            </w:pPr>
            <w:r>
              <w:rPr/>
              <w:t>按照投标人对招标文件采购需求中“附表一：手术监护仪及便携转运监护仪”的“具体技术（参数）要求”中一般技术条款（除“★”及“▲”标识条款外）响应程度进行评审：按量化指标，评审分数按以下公式进行计算：（完全响应的一般技术条款数量/一般技术条款总数量）×23分=一般技术条款响应程度得分（得分按四舍五入保留两位小数）。 注：①投标人须按招标文件采购需求注明的要求提供相关佐证材料，否则评标委员会有权视相应技术参数响应不符合招标要求（证明文件为英文版时，请同时提供中文版）。②一般技术条款项数以一级序号均为一项计算，如序号“1.”。本项目一般技术条款项数共23项。</w:t>
            </w:r>
          </w:p>
        </w:tc>
      </w:tr>
      <w:tr>
        <w:tc>
          <w:tcPr>
            <w:tcW w:type="dxa" w:w="922"/>
            <w:gridSpan w:val="2"/>
            <w:vMerge/>
          </w:tcPr>
          <w:p/>
        </w:tc>
        <w:tc>
          <w:tcPr>
            <w:tcW w:type="dxa" w:w="2307"/>
          </w:tcPr>
          <w:p>
            <w:pPr>
              <w:pStyle w:val="null3"/>
              <w:jc w:val="left"/>
            </w:pPr>
            <w:r>
              <w:rPr/>
              <w:t>重要技术条款“▲”标识响应程度 (14.0分)</w:t>
            </w:r>
          </w:p>
        </w:tc>
        <w:tc>
          <w:tcPr>
            <w:tcW w:type="dxa" w:w="5076"/>
          </w:tcPr>
          <w:p>
            <w:pPr>
              <w:pStyle w:val="null3"/>
              <w:jc w:val="left"/>
            </w:pPr>
            <w:r>
              <w:rPr/>
              <w:t>按照投标人对招标文件采购需求中“附表一：手术监护仪及便携转运监护仪”的“具体技术（参数）要求”中重要技术条款“▲”标识条款的响应程度进行评审：按量化指标，完全满足的得14分，每负偏离1项扣2分，本项分值扣完为止。 注：①投标人须按招标文件采购需求注明的要求提供相关佐证材料，否则评标委员会有权视相应技术参数响应不符合招标要求（证明文件为英文版时，请同时提供中文版）。②重要技术条款“▲”标识项数以一级序号均为一项计算，如序号“▲2.”。本项目重要技术条款“▲”标识项数共7项。</w:t>
            </w:r>
          </w:p>
        </w:tc>
      </w:tr>
      <w:tr>
        <w:tc>
          <w:tcPr>
            <w:tcW w:type="dxa" w:w="922"/>
            <w:gridSpan w:val="2"/>
            <w:vMerge/>
          </w:tcPr>
          <w:p/>
        </w:tc>
        <w:tc>
          <w:tcPr>
            <w:tcW w:type="dxa" w:w="2307"/>
          </w:tcPr>
          <w:p>
            <w:pPr>
              <w:pStyle w:val="null3"/>
              <w:jc w:val="left"/>
            </w:pPr>
            <w:r>
              <w:rPr/>
              <w:t>所投货物选型及供货能力 (8.0分)</w:t>
            </w:r>
          </w:p>
        </w:tc>
        <w:tc>
          <w:tcPr>
            <w:tcW w:type="dxa" w:w="5076"/>
          </w:tcPr>
          <w:p>
            <w:pPr>
              <w:pStyle w:val="null3"/>
              <w:jc w:val="left"/>
            </w:pPr>
            <w:r>
              <w:rPr/>
              <w:t>按照投标人提供的所投货物选型及性能证明材料（包括并不限于所投设备的选型证明材料（含主机与平台架构、独立运行能力、数据存储与回顾能力等）、生产标准合规性模块供货兼容性、耗材供应能力、 中央工作站联网能力、交货计划周期等）进行评审： 完全满足或由于用户需求且有相关证明材料证明的，供货及时，能有稳定供货渠道的得8分； 基本满足或由于用户需求且有相关证明材料证明的，所投货物选型、性能及供货能力基本满足用户需求，但存在不足的得4分； 证明材料不足，所投货物选型及供货能力基本不满足用户需求的得1分；无 证明材料，所投货物选型及供货能力极差的得0分。 注：提供相关证明材料，如相关认证、技术说明书或有效检验报告或评审项要求的证明材料，不按要求提供的不得分。</w:t>
            </w:r>
          </w:p>
        </w:tc>
      </w:tr>
      <w:tr>
        <w:tc>
          <w:tcPr>
            <w:tcW w:type="dxa" w:w="922"/>
            <w:gridSpan w:val="2"/>
            <w:vMerge/>
          </w:tcPr>
          <w:p/>
        </w:tc>
        <w:tc>
          <w:tcPr>
            <w:tcW w:type="dxa" w:w="2307"/>
          </w:tcPr>
          <w:p>
            <w:pPr>
              <w:pStyle w:val="null3"/>
              <w:jc w:val="left"/>
            </w:pPr>
            <w:r>
              <w:rPr/>
              <w:t>安装、调试 能力 (7.0分)</w:t>
            </w:r>
          </w:p>
        </w:tc>
        <w:tc>
          <w:tcPr>
            <w:tcW w:type="dxa" w:w="5076"/>
          </w:tcPr>
          <w:p>
            <w:pPr>
              <w:pStyle w:val="null3"/>
              <w:jc w:val="left"/>
            </w:pPr>
            <w:r>
              <w:rPr/>
              <w:t>按照投标人提供的安装、调试能力证明材料（包括并不限于安装团队与资质、现场安装实施方案（含场地勘察与前期准备、设备安装与部署、网络与信息系统集成、洁净与感控要求）、调试与验收流程、耗材与附件的安装调试等）进行评审： 安装、调试方案完善具体详尽清晰、供货及时，能完全满足采购需求及项目实施要求的，得7分； 安装、调试方案较具体、可行，供货能力基本满足采购需求及项目实施要求的，得4分； 安装、调试方案内容较简单或不齐全、供货能力差，对采购需求的响应一般的得1分； 安装、调试方案内容较差、无针对性、供货能力无法满足采购需求的，得0分。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按照投标人提供的培训方案（须根据产品特点及保养事项对采购人所使用设备人员提供设备操作及操作过程中注意事项等内容，包括并不限于培训机制、核心理论与合规培训、实操操作培训、安全与应急培训、培训分层体系、培训形式与课时安排、培训人员资质、培训教材与交付物、培训考核与效果评估等）进行评审： 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3分； 投标人针对本项目为采购人提供有专人指导和简单上手的设备操作培训课程安排，有简单的课程及培训内容安排，对设备的操作过程中注意事项有基本操作指引，得2分； 投标人提供指导和培训课程安排简单含糊，课程及培训内容安排不明确，对操作培训含糊其辞，得1分； 投标人提供的培训方案极差或不提供方案的，得0分。</w:t>
            </w:r>
          </w:p>
        </w:tc>
      </w:tr>
      <w:tr>
        <w:tc>
          <w:tcPr>
            <w:tcW w:type="dxa" w:w="922"/>
            <w:gridSpan w:val="2"/>
            <w:vMerge/>
          </w:tcPr>
          <w:p/>
        </w:tc>
        <w:tc>
          <w:tcPr>
            <w:tcW w:type="dxa" w:w="2307"/>
          </w:tcPr>
          <w:p>
            <w:pPr>
              <w:pStyle w:val="null3"/>
              <w:jc w:val="left"/>
            </w:pPr>
            <w:r>
              <w:rPr/>
              <w:t>使用操作及维护保养便利性 (5.0分)</w:t>
            </w:r>
          </w:p>
        </w:tc>
        <w:tc>
          <w:tcPr>
            <w:tcW w:type="dxa" w:w="5076"/>
          </w:tcPr>
          <w:p>
            <w:pPr>
              <w:pStyle w:val="null3"/>
              <w:jc w:val="left"/>
            </w:pPr>
            <w:r>
              <w:rPr/>
              <w:t>按照投标人所投设备的操作难易及维护保养的便利程度证明材料（包括并不限于人机交互与日常操作、模块化与扩展操作、报警管理便利性、日常清洁与消毒、模块与传感器维护、软件与系统维护、校准与质控等）进行评分： 设备操作简单，保养、维护非常便利，得5分； 设备操作较为简单，保养、维护较为便利，得3分； 设备操作复杂，保养、维护不便利，得1分； 未提供相关材料的，得0分。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(2.0分)</w:t>
            </w:r>
          </w:p>
        </w:tc>
        <w:tc>
          <w:tcPr>
            <w:tcW w:type="dxa" w:w="5076"/>
          </w:tcPr>
          <w:p>
            <w:pPr>
              <w:pStyle w:val="null3"/>
              <w:jc w:val="left"/>
            </w:pPr>
            <w:r>
              <w:rPr/>
              <w:t>投标人每提供一份投标人签署的有效同类设备项目业绩证明文件得0.5分，同项目的不同证明文件不重复计分，最高2分。 注：以投标人提供的2023年1月1日以来本项目同类项目的合同或验收报告中任何一个证明文件为准。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投标人提供上述有效项目业绩用户单位考核评价为“优或满意或同等含义”的用户评价文件，每提供一个得0.5分，本项最多得2分。同项目的不同评价文件不重复计分。 注：投标文件须提供盖有用户单位公章的用户评价表或相关证明复印件并加盖投标人公章，不按要求提供的不得分。</w:t>
            </w:r>
          </w:p>
        </w:tc>
      </w:tr>
      <w:tr>
        <w:tc>
          <w:tcPr>
            <w:tcW w:type="dxa" w:w="922"/>
            <w:gridSpan w:val="2"/>
            <w:vMerge/>
          </w:tcPr>
          <w:p/>
        </w:tc>
        <w:tc>
          <w:tcPr>
            <w:tcW w:type="dxa" w:w="2307"/>
          </w:tcPr>
          <w:p>
            <w:pPr>
              <w:pStyle w:val="null3"/>
              <w:jc w:val="left"/>
            </w:pPr>
            <w:r>
              <w:rPr/>
              <w:t>商务要求响应程度 (3.0分)</w:t>
            </w:r>
          </w:p>
        </w:tc>
        <w:tc>
          <w:tcPr>
            <w:tcW w:type="dxa" w:w="5076"/>
          </w:tcPr>
          <w:p>
            <w:pPr>
              <w:pStyle w:val="null3"/>
              <w:jc w:val="left"/>
            </w:pPr>
            <w:r>
              <w:rPr/>
              <w:t>根据投标人对招标文件“第二章 采购需求”中“其他商务需求”要求响应情况进行评审：“其他商务需求”（每条条款最小一级序号均以一项计算）共9项（“★”条款除外），按量化指标，评审分数按以下公式进行计算：（完全响应的参数数量/总数量9项）×3分=商务要求响应得分（得分按四舍五入保留两位小数）。 注：如其他商务需求中有明确要求提供证明资料的，投标人应同时提供有效且完全符合要求的证明材料，不按要求提供或提供不符的视为负偏离。</w:t>
            </w:r>
          </w:p>
        </w:tc>
      </w:tr>
      <w:tr>
        <w:tc>
          <w:tcPr>
            <w:tcW w:type="dxa" w:w="922"/>
            <w:gridSpan w:val="2"/>
            <w:vMerge/>
          </w:tcPr>
          <w:p/>
        </w:tc>
        <w:tc>
          <w:tcPr>
            <w:tcW w:type="dxa" w:w="2307"/>
          </w:tcPr>
          <w:p>
            <w:pPr>
              <w:pStyle w:val="null3"/>
              <w:jc w:val="left"/>
            </w:pPr>
            <w:r>
              <w:rPr/>
              <w:t>售后服务安排 (3.0分)</w:t>
            </w:r>
          </w:p>
        </w:tc>
        <w:tc>
          <w:tcPr>
            <w:tcW w:type="dxa" w:w="5076"/>
          </w:tcPr>
          <w:p>
            <w:pPr>
              <w:pStyle w:val="null3"/>
              <w:jc w:val="left"/>
            </w:pPr>
            <w:r>
              <w:rPr/>
              <w:t>《售后服务承诺书》或售后服务安排相关文件(须加盖售后服务企业及投标企业公章，且须注明详细服务年限。《售后服务承诺书》或售后服务安排相关文件内容包括但不限于服务架构与团队配置、服务响应时效、保修服务内容、备品备件保障、临床应用支持、巡检与预防性维护、服务质量保障等)，由评委对各投标人的提供的售后服务内容:质保期满足或优于采购需求要求、维护保养方案完善具体，各阶段服务计划最详尽，得3分；质保期较长、维护保养方案比较完善具体，各阶段服务计划比较详尽，得2分；质保期较短、维护保养方案一般完善具体，各阶段服务计划一般详尽，得1分；没有提供《售后服务承诺书》或售后服务安排相关文件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中山市人民医院手术监护仪及便携转运监护仪采购项目</w:t>
      </w:r>
    </w:p>
    <w:p>
      <w:pPr>
        <w:pStyle w:val="null3"/>
        <w:jc w:val="center"/>
      </w:pPr>
      <w:r>
        <w:rPr>
          <w:sz w:val="24"/>
          <w:b/>
        </w:rPr>
        <w:t>合同书</w:t>
      </w:r>
    </w:p>
    <w:p>
      <w:pPr>
        <w:pStyle w:val="null3"/>
        <w:ind w:firstLine="1506"/>
        <w:jc w:val="both"/>
      </w:pPr>
      <w:r>
        <w:rPr>
          <w:sz w:val="22"/>
          <w:b/>
        </w:rPr>
        <w:t>(本合同范本仅供参考，中标人与采购人可根据双方的具体要求进行修订，双方所签订的合同不得对</w:t>
      </w:r>
      <w:r>
        <w:rPr>
          <w:sz w:val="22"/>
          <w:b/>
        </w:rPr>
        <w:t>招标</w:t>
      </w:r>
      <w:r>
        <w:rPr>
          <w:sz w:val="22"/>
          <w:b/>
        </w:rPr>
        <w:t>文件确定的事项和中标人投标文件作实质性修改。）</w:t>
      </w:r>
    </w:p>
    <w:p>
      <w:pPr>
        <w:pStyle w:val="null3"/>
        <w:ind w:firstLine="1506"/>
        <w:jc w:val="both"/>
      </w:pPr>
      <w:r>
        <w:rPr>
          <w:sz w:val="24"/>
          <w:b/>
        </w:rPr>
        <w:t>项目名称：</w:t>
      </w:r>
      <w:r>
        <w:rPr>
          <w:sz w:val="24"/>
          <w:b/>
          <w:u w:val="single"/>
        </w:rPr>
        <w:t>__________________________</w:t>
      </w:r>
    </w:p>
    <w:p>
      <w:pPr>
        <w:pStyle w:val="null3"/>
        <w:spacing w:before="135" w:after="135"/>
        <w:ind w:firstLine="1681"/>
        <w:jc w:val="both"/>
      </w:pPr>
      <w:r>
        <w:rPr>
          <w:sz w:val="24"/>
          <w:b/>
        </w:rPr>
        <w:t>采购计划编号：</w:t>
      </w:r>
      <w:r>
        <w:rPr>
          <w:b/>
          <w:u w:val="single"/>
        </w:rPr>
        <w:t xml:space="preserve">                   </w:t>
      </w:r>
    </w:p>
    <w:p>
      <w:pPr>
        <w:pStyle w:val="null3"/>
        <w:spacing w:before="135" w:after="135"/>
        <w:ind w:firstLine="1681"/>
      </w:pPr>
      <w:r>
        <w:rPr>
          <w:sz w:val="24"/>
          <w:b/>
        </w:rPr>
        <w:t>采购项目编号：</w:t>
      </w:r>
      <w:r>
        <w:rPr>
          <w:sz w:val="24"/>
          <w:b/>
          <w:u w:val="single"/>
        </w:rPr>
        <w:t>_____________________</w:t>
      </w:r>
    </w:p>
    <w:p>
      <w:pPr>
        <w:pStyle w:val="null3"/>
        <w:spacing w:before="135" w:after="135"/>
        <w:ind w:firstLine="1494"/>
        <w:jc w:val="both"/>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中山市人民医院手术监护仪及便携转运监护仪采购项目</w:t>
      </w:r>
      <w:r>
        <w:rPr>
          <w:sz w:val="24"/>
          <w:b/>
        </w:rPr>
        <w:t>合同书</w:t>
      </w:r>
    </w:p>
    <w:p>
      <w:pPr>
        <w:pStyle w:val="null3"/>
        <w:jc w:val="center"/>
      </w:pPr>
      <w:r>
        <w:rPr>
          <w:sz w:val="21"/>
        </w:rPr>
        <w:t xml:space="preserve">                                                      </w:t>
      </w:r>
      <w:r>
        <w:rPr>
          <w:sz w:val="24"/>
          <w:b/>
        </w:rPr>
        <w:t>合同编号</w:t>
      </w:r>
      <w:r>
        <w:rPr>
          <w:sz w:val="24"/>
          <w:b/>
        </w:rPr>
        <w:t>：</w:t>
      </w:r>
    </w:p>
    <w:p>
      <w:pPr>
        <w:pStyle w:val="null3"/>
        <w:jc w:val="center"/>
      </w:pPr>
      <w:r>
        <w:rPr>
          <w:sz w:val="24"/>
        </w:rPr>
        <w:t>甲方：中山市人民医院</w:t>
      </w:r>
      <w:r>
        <w:rPr/>
        <w:t xml:space="preserve">             </w:t>
      </w:r>
      <w:r>
        <w:rPr>
          <w:sz w:val="24"/>
        </w:rPr>
        <w:t>签订地：</w:t>
      </w:r>
      <w:r>
        <w:rPr>
          <w:sz w:val="24"/>
        </w:rPr>
        <w:t>{</w:t>
      </w:r>
      <w:r>
        <w:rPr>
          <w:sz w:val="24"/>
        </w:rPr>
        <w:t>中山市</w:t>
      </w:r>
      <w:r>
        <w:rPr>
          <w:sz w:val="24"/>
        </w:rPr>
        <w:t>}</w:t>
      </w:r>
    </w:p>
    <w:p>
      <w:pPr>
        <w:pStyle w:val="null3"/>
      </w:pPr>
      <w:r>
        <w:rPr>
          <w:sz w:val="24"/>
        </w:rPr>
        <w:t>乙方：</w:t>
      </w:r>
      <w:r>
        <w:rPr>
          <w:sz w:val="24"/>
        </w:rPr>
        <w:t>{</w:t>
      </w:r>
      <w:r>
        <w:rPr>
          <w:sz w:val="24"/>
        </w:rPr>
        <w:t>乙方全称</w:t>
      </w:r>
      <w:r>
        <w:rPr>
          <w:sz w:val="24"/>
        </w:rPr>
        <w:t xml:space="preserve">}                                  </w:t>
      </w:r>
    </w:p>
    <w:p>
      <w:pPr>
        <w:pStyle w:val="null3"/>
      </w:pPr>
      <w:r>
        <w:rPr>
          <w:sz w:val="24"/>
        </w:rPr>
        <w:t>为保护甲乙双方合法权益，根据</w:t>
      </w:r>
      <w:r>
        <w:rPr>
          <w:sz w:val="24"/>
        </w:rPr>
        <w:t>{</w:t>
      </w:r>
      <w:r>
        <w:rPr>
          <w:sz w:val="24"/>
          <w:u w:val="single"/>
        </w:rPr>
        <w:t>项目名称</w:t>
      </w:r>
      <w:r>
        <w:rPr>
          <w:sz w:val="24"/>
        </w:rPr>
        <w:t>}</w:t>
      </w:r>
      <w:r>
        <w:rPr>
          <w:sz w:val="24"/>
        </w:rPr>
        <w:t>的项目（项目编号：</w:t>
      </w:r>
      <w:r>
        <w:rPr>
          <w:sz w:val="24"/>
        </w:rPr>
        <w:t>{</w:t>
      </w:r>
      <w:r>
        <w:rPr>
          <w:sz w:val="24"/>
          <w:u w:val="single"/>
        </w:rPr>
        <w:t>项目编号</w:t>
      </w:r>
      <w:r>
        <w:rPr>
          <w:sz w:val="24"/>
        </w:rPr>
        <w:t>}</w:t>
      </w:r>
      <w:r>
        <w:rPr>
          <w:sz w:val="24"/>
        </w:rPr>
        <w:t>）的采购结果，以及《中华人民共和国民法典》、《中华人民共和国政府采购法》等相关法律、法规，以及广东省定点采购相关规定，签订本合同，并共同遵守。</w:t>
      </w:r>
    </w:p>
    <w:p>
      <w:pPr>
        <w:pStyle w:val="null3"/>
      </w:pPr>
      <w:r>
        <w:rPr>
          <w:sz w:val="24"/>
          <w:b/>
        </w:rPr>
        <w:t>第一条</w:t>
      </w:r>
      <w:r>
        <w:rPr>
          <w:b/>
        </w:rPr>
        <w:t xml:space="preserve"> </w:t>
      </w:r>
      <w:r>
        <w:rPr>
          <w:sz w:val="24"/>
          <w:b/>
        </w:rPr>
        <w:t>合同设备</w:t>
      </w:r>
    </w:p>
    <w:p>
      <w:pPr>
        <w:pStyle w:val="null3"/>
      </w:pPr>
      <w:r>
        <w:rPr>
          <w:sz w:val="24"/>
        </w:rPr>
        <w:t>乙方负责向甲方供应</w:t>
      </w:r>
      <w:r>
        <w:rPr>
          <w:sz w:val="24"/>
        </w:rPr>
        <w:t>{</w:t>
      </w:r>
      <w:r>
        <w:rPr>
          <w:sz w:val="24"/>
          <w:u w:val="single"/>
        </w:rPr>
        <w:t>项目名称</w:t>
      </w:r>
      <w:r>
        <w:rPr>
          <w:sz w:val="24"/>
        </w:rPr>
        <w:t>}</w:t>
      </w:r>
      <w:r>
        <w:rPr>
          <w:sz w:val="24"/>
        </w:rPr>
        <w:t>设备及负责安装调试。设备明细及配置见附件清单。</w:t>
      </w:r>
    </w:p>
    <w:p>
      <w:pPr>
        <w:pStyle w:val="null3"/>
      </w:pPr>
      <w:r>
        <w:rPr>
          <w:sz w:val="24"/>
          <w:b/>
        </w:rPr>
        <w:t>第二条</w:t>
      </w:r>
      <w:r>
        <w:rPr>
          <w:b/>
        </w:rPr>
        <w:t xml:space="preserve"> </w:t>
      </w:r>
      <w:r>
        <w:rPr>
          <w:sz w:val="24"/>
          <w:b/>
        </w:rPr>
        <w:t>合同总额</w:t>
      </w:r>
    </w:p>
    <w:p>
      <w:pPr>
        <w:pStyle w:val="null3"/>
      </w:pPr>
      <w:r>
        <w:rPr>
          <w:sz w:val="24"/>
        </w:rPr>
        <w:t>总价为（大写）：人民币</w:t>
      </w:r>
      <w:r>
        <w:rPr>
          <w:sz w:val="24"/>
        </w:rPr>
        <w:t>{</w:t>
      </w:r>
      <w:r>
        <w:rPr>
          <w:sz w:val="24"/>
          <w:u w:val="single"/>
        </w:rPr>
        <w:t>总价大写</w:t>
      </w:r>
      <w:r>
        <w:rPr>
          <w:sz w:val="24"/>
        </w:rPr>
        <w:t>}</w:t>
      </w:r>
      <w:r>
        <w:rPr>
          <w:sz w:val="24"/>
        </w:rPr>
        <w:t>，即（小写）￥</w:t>
      </w:r>
      <w:r>
        <w:rPr>
          <w:sz w:val="24"/>
        </w:rPr>
        <w:t>{</w:t>
      </w:r>
      <w:r>
        <w:rPr>
          <w:u w:val="single"/>
        </w:rPr>
        <w:t xml:space="preserve">      </w:t>
      </w:r>
      <w:r>
        <w:rPr>
          <w:sz w:val="24"/>
        </w:rPr>
        <w:t>}</w:t>
      </w:r>
      <w:r>
        <w:rPr>
          <w:sz w:val="24"/>
        </w:rPr>
        <w:t>元，该合同总金额是设计、设备制造、包装、仓储、运输、装卸、安装及验收合格之前和保修期内备品备件发生的所有含税费用，含医院网络连接与调试。本合同执行期间合同总金额不变。</w:t>
      </w:r>
    </w:p>
    <w:p>
      <w:pPr>
        <w:pStyle w:val="null3"/>
      </w:pPr>
      <w:r>
        <w:rPr>
          <w:sz w:val="24"/>
          <w:b/>
        </w:rPr>
        <w:t>第三条</w:t>
      </w:r>
      <w:r>
        <w:rPr>
          <w:b/>
        </w:rPr>
        <w:t xml:space="preserve"> </w:t>
      </w:r>
      <w:r>
        <w:rPr>
          <w:sz w:val="24"/>
          <w:b/>
        </w:rPr>
        <w:t>合同组成</w:t>
      </w:r>
    </w:p>
    <w:p>
      <w:pPr>
        <w:pStyle w:val="null3"/>
      </w:pPr>
      <w:r>
        <w:rPr>
          <w:sz w:val="24"/>
        </w:rPr>
        <w:t>详细价格、技术说明及其它有关合同设备的特定信息由合同附件说明。所有附件及本项目的招投标文件、会议纪要、协议等均为本合同不可分割之一部分。</w:t>
      </w:r>
    </w:p>
    <w:p>
      <w:pPr>
        <w:pStyle w:val="null3"/>
      </w:pPr>
      <w:r>
        <w:rPr>
          <w:sz w:val="24"/>
          <w:b/>
        </w:rPr>
        <w:t>第四条</w:t>
      </w:r>
      <w:r>
        <w:rPr>
          <w:b/>
        </w:rPr>
        <w:t xml:space="preserve"> </w:t>
      </w:r>
      <w:r>
        <w:rPr>
          <w:sz w:val="24"/>
          <w:b/>
        </w:rPr>
        <w:t>技术要求</w:t>
      </w:r>
    </w:p>
    <w:p>
      <w:pPr>
        <w:pStyle w:val="null3"/>
      </w:pPr>
      <w:r>
        <w:rPr>
          <w:sz w:val="24"/>
        </w:rPr>
        <w:t>乙方所提供设备，必须符合国家有关规范和环保要求及甲方的技术要求，并提供设备的出厂试测验报告。所有货物及服务不得侵犯第三方版权、专利等。</w:t>
      </w:r>
    </w:p>
    <w:p>
      <w:pPr>
        <w:pStyle w:val="null3"/>
      </w:pPr>
      <w:r>
        <w:rPr>
          <w:sz w:val="24"/>
          <w:b/>
        </w:rPr>
        <w:t>第五条</w:t>
      </w:r>
      <w:r>
        <w:rPr>
          <w:b/>
        </w:rPr>
        <w:t xml:space="preserve"> </w:t>
      </w:r>
      <w:r>
        <w:rPr>
          <w:sz w:val="24"/>
          <w:b/>
        </w:rPr>
        <w:t>合同设备包装、交货、安装、调试及验收</w:t>
      </w:r>
    </w:p>
    <w:p>
      <w:pPr>
        <w:pStyle w:val="null3"/>
      </w:pPr>
      <w:r>
        <w:rPr>
          <w:sz w:val="24"/>
        </w:rPr>
        <w:t>1.</w:t>
      </w:r>
      <w:r>
        <w:rPr>
          <w:sz w:val="24"/>
        </w:rPr>
        <w:t>合同设备的包装</w:t>
      </w:r>
    </w:p>
    <w:p>
      <w:pPr>
        <w:pStyle w:val="null3"/>
      </w:pPr>
      <w:r>
        <w:rPr>
          <w:sz w:val="24"/>
        </w:rPr>
        <w:t>设备的包装均应有良好的防湿、防锈、防潮、防雨、防腐及防碰撞的措施。凡由于包装不良造成的损失和由此产生的费用均由乙方承担。</w:t>
      </w:r>
    </w:p>
    <w:p>
      <w:pPr>
        <w:pStyle w:val="null3"/>
      </w:pPr>
      <w:r>
        <w:rPr>
          <w:sz w:val="24"/>
        </w:rPr>
        <w:t>2.</w:t>
      </w:r>
      <w:r>
        <w:rPr>
          <w:sz w:val="24"/>
        </w:rPr>
        <w:t>合同设备的交货</w:t>
      </w:r>
    </w:p>
    <w:p>
      <w:pPr>
        <w:pStyle w:val="null3"/>
      </w:pPr>
      <w:r>
        <w:rPr>
          <w:sz w:val="24"/>
        </w:rPr>
        <w:t>（</w:t>
      </w:r>
      <w:r>
        <w:rPr>
          <w:sz w:val="24"/>
        </w:rPr>
        <w:t>1</w:t>
      </w:r>
      <w:r>
        <w:rPr>
          <w:sz w:val="24"/>
        </w:rPr>
        <w:t>）</w:t>
      </w:r>
      <w:r>
        <w:rPr>
          <w:sz w:val="24"/>
        </w:rPr>
        <w:t>乙方交货时间：签订合同后</w:t>
      </w:r>
      <w:r>
        <w:rPr>
          <w:sz w:val="24"/>
        </w:rPr>
        <w:t>{</w:t>
      </w:r>
      <w:r>
        <w:rPr>
          <w:u w:val="single"/>
        </w:rPr>
        <w:t xml:space="preserve">      </w:t>
      </w:r>
      <w:r>
        <w:rPr>
          <w:sz w:val="24"/>
        </w:rPr>
        <w:t xml:space="preserve">} </w:t>
      </w:r>
      <w:r>
        <w:rPr>
          <w:sz w:val="24"/>
        </w:rPr>
        <w:t>天内。</w:t>
      </w:r>
    </w:p>
    <w:p>
      <w:pPr>
        <w:pStyle w:val="null3"/>
      </w:pPr>
      <w:r>
        <w:rPr>
          <w:sz w:val="24"/>
        </w:rPr>
        <w:t>（</w:t>
      </w:r>
      <w:r>
        <w:rPr>
          <w:sz w:val="24"/>
        </w:rPr>
        <w:t>2</w:t>
      </w:r>
      <w:r>
        <w:rPr>
          <w:sz w:val="24"/>
        </w:rPr>
        <w:t>）</w:t>
      </w:r>
      <w:r>
        <w:rPr>
          <w:sz w:val="24"/>
        </w:rPr>
        <w:t>乙方交货地点：甲方指定地点。</w:t>
      </w:r>
    </w:p>
    <w:p>
      <w:pPr>
        <w:pStyle w:val="null3"/>
      </w:pPr>
      <w:r>
        <w:rPr>
          <w:sz w:val="24"/>
        </w:rPr>
        <w:t>3.</w:t>
      </w:r>
      <w:r>
        <w:rPr>
          <w:sz w:val="24"/>
        </w:rPr>
        <w:t>合同设备的安装调试</w:t>
      </w:r>
    </w:p>
    <w:p>
      <w:pPr>
        <w:pStyle w:val="null3"/>
      </w:pPr>
      <w:r>
        <w:rPr>
          <w:sz w:val="24"/>
        </w:rPr>
        <w:t>（</w:t>
      </w:r>
      <w:r>
        <w:rPr>
          <w:sz w:val="24"/>
        </w:rPr>
        <w:t>1</w:t>
      </w:r>
      <w:r>
        <w:rPr>
          <w:sz w:val="24"/>
        </w:rPr>
        <w:t>）</w:t>
      </w:r>
      <w:r>
        <w:rPr>
          <w:sz w:val="24"/>
        </w:rPr>
        <w:t>乙方负责合同项下的安装调试，一切费用由乙方负责。</w:t>
      </w:r>
    </w:p>
    <w:p>
      <w:pPr>
        <w:pStyle w:val="null3"/>
      </w:pPr>
      <w:r>
        <w:rPr>
          <w:sz w:val="24"/>
        </w:rPr>
        <w:t>（</w:t>
      </w:r>
      <w:r>
        <w:rPr>
          <w:sz w:val="24"/>
        </w:rPr>
        <w:t>2</w:t>
      </w:r>
      <w:r>
        <w:rPr>
          <w:sz w:val="24"/>
        </w:rPr>
        <w:t>）</w:t>
      </w:r>
      <w:r>
        <w:rPr>
          <w:sz w:val="24"/>
        </w:rPr>
        <w:t>乙方安装时须对各安装场地内的其它设备、设施有良好保护措施。</w:t>
      </w:r>
    </w:p>
    <w:p>
      <w:pPr>
        <w:pStyle w:val="null3"/>
      </w:pPr>
      <w:r>
        <w:rPr>
          <w:sz w:val="24"/>
        </w:rPr>
        <w:t>4.</w:t>
      </w:r>
      <w:r>
        <w:rPr>
          <w:sz w:val="24"/>
        </w:rPr>
        <w:t>设备的验收</w:t>
      </w:r>
    </w:p>
    <w:p>
      <w:pPr>
        <w:pStyle w:val="null3"/>
      </w:pPr>
      <w:r>
        <w:rPr>
          <w:sz w:val="24"/>
        </w:rPr>
        <w:t>（</w:t>
      </w:r>
      <w:r>
        <w:rPr>
          <w:sz w:val="24"/>
        </w:rPr>
        <w:t>1</w:t>
      </w:r>
      <w:r>
        <w:rPr>
          <w:sz w:val="24"/>
        </w:rPr>
        <w:t>）合同设备安装调试完成并移交所有资料文档后，经临床科室试用</w:t>
      </w:r>
      <w:r>
        <w:rPr>
          <w:sz w:val="24"/>
        </w:rPr>
        <w:t>{</w:t>
      </w:r>
      <w:r>
        <w:rPr/>
        <w:t xml:space="preserve"> </w:t>
      </w:r>
      <w:r>
        <w:rPr>
          <w:sz w:val="24"/>
        </w:rPr>
        <w:t>}</w:t>
      </w:r>
      <w:r>
        <w:rPr>
          <w:sz w:val="24"/>
        </w:rPr>
        <w:t>个工作日后验收，验收应在甲乙双方共同参加下进行，验收标准按照国家有关标准。</w:t>
      </w:r>
    </w:p>
    <w:p>
      <w:pPr>
        <w:pStyle w:val="null3"/>
      </w:pPr>
      <w:r>
        <w:rPr>
          <w:sz w:val="24"/>
        </w:rPr>
        <w:t>（</w:t>
      </w:r>
      <w:r>
        <w:rPr>
          <w:sz w:val="24"/>
        </w:rPr>
        <w:t>2</w:t>
      </w:r>
      <w:r>
        <w:rPr>
          <w:sz w:val="24"/>
        </w:rPr>
        <w:t>）</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pStyle w:val="null3"/>
      </w:pPr>
      <w:r>
        <w:rPr>
          <w:sz w:val="24"/>
        </w:rPr>
        <w:t>（</w:t>
      </w:r>
      <w:r>
        <w:rPr>
          <w:sz w:val="24"/>
        </w:rPr>
        <w:t>4</w:t>
      </w:r>
      <w:r>
        <w:rPr>
          <w:sz w:val="24"/>
        </w:rPr>
        <w:t>）国内产品或合资厂的产品必须具备出厂合格证。</w:t>
      </w:r>
    </w:p>
    <w:p>
      <w:pPr>
        <w:pStyle w:val="null3"/>
      </w:pPr>
      <w:r>
        <w:rPr>
          <w:sz w:val="24"/>
        </w:rPr>
        <w:t>（</w:t>
      </w:r>
      <w:r>
        <w:rPr>
          <w:sz w:val="24"/>
        </w:rPr>
        <w:t>5</w:t>
      </w:r>
      <w:r>
        <w:rPr>
          <w:sz w:val="24"/>
        </w:rPr>
        <w:t>）进口产品必须具备省级（或相当于省级）商检部门的检验证明，及正常报关证明。</w:t>
      </w:r>
    </w:p>
    <w:p>
      <w:pPr>
        <w:pStyle w:val="null3"/>
      </w:pPr>
      <w:r>
        <w:rPr>
          <w:sz w:val="24"/>
        </w:rPr>
        <w:t>5.</w:t>
      </w:r>
      <w:r>
        <w:rPr>
          <w:sz w:val="24"/>
        </w:rPr>
        <w:t>如乙方没有及时提供相关证件（如商检证等），有可能影响验收进程，所导致的经济损失，由乙方自行承担。</w:t>
      </w:r>
    </w:p>
    <w:p>
      <w:pPr>
        <w:pStyle w:val="null3"/>
      </w:pPr>
      <w:r>
        <w:rPr>
          <w:sz w:val="24"/>
        </w:rPr>
        <w:t>6.</w:t>
      </w:r>
      <w:r>
        <w:rPr>
          <w:sz w:val="24"/>
        </w:rPr>
        <w:t>乙方保证合同项下提供的设备不侵犯任何第三方的专利、商标或版权。否则，乙方须承担对第三方的专利或版权的侵权责任并承担因此而发生的所有费用。</w:t>
      </w:r>
    </w:p>
    <w:p>
      <w:pPr>
        <w:pStyle w:val="null3"/>
      </w:pPr>
      <w:r>
        <w:rPr>
          <w:sz w:val="24"/>
          <w:b/>
        </w:rPr>
        <w:t>第六条</w:t>
      </w:r>
      <w:r>
        <w:rPr>
          <w:b/>
        </w:rPr>
        <w:t xml:space="preserve"> </w:t>
      </w:r>
      <w:r>
        <w:rPr>
          <w:sz w:val="24"/>
          <w:b/>
        </w:rPr>
        <w:t>质量保证及售后服务</w:t>
      </w:r>
    </w:p>
    <w:p>
      <w:pPr>
        <w:pStyle w:val="null3"/>
      </w:pPr>
      <w:r>
        <w:rPr>
          <w:sz w:val="24"/>
        </w:rPr>
        <w:t>1.</w:t>
      </w:r>
      <w:r>
        <w:rPr>
          <w:sz w:val="24"/>
        </w:rPr>
        <w:t>乙方保证合同设备是全新、未曾使用过的，其质量、规格及技术特征符合合同附件的要求。</w:t>
      </w:r>
    </w:p>
    <w:p>
      <w:pPr>
        <w:pStyle w:val="null3"/>
      </w:pPr>
      <w:r>
        <w:rPr>
          <w:sz w:val="24"/>
        </w:rPr>
        <w:t>2.</w:t>
      </w:r>
      <w:r>
        <w:rPr>
          <w:sz w:val="24"/>
        </w:rPr>
        <w:t>合同设备保质保用期按生产厂家的标准执行，整机保修期</w:t>
      </w:r>
      <w:r>
        <w:rPr>
          <w:sz w:val="24"/>
        </w:rPr>
        <w:t>{</w:t>
      </w:r>
      <w:r>
        <w:rPr/>
        <w:t xml:space="preserve">  </w:t>
      </w:r>
      <w:r>
        <w:rPr>
          <w:sz w:val="24"/>
        </w:rPr>
        <w:t>}</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pStyle w:val="null3"/>
      </w:pPr>
      <w:r>
        <w:rPr>
          <w:sz w:val="24"/>
        </w:rPr>
        <w:t>下列情况乙方不负责免费保修：</w:t>
      </w:r>
    </w:p>
    <w:p>
      <w:pPr>
        <w:pStyle w:val="null3"/>
      </w:pPr>
      <w:r>
        <w:rPr>
          <w:sz w:val="24"/>
        </w:rPr>
        <w:t>（</w:t>
      </w:r>
      <w:r>
        <w:rPr>
          <w:sz w:val="24"/>
        </w:rPr>
        <w:t>1</w:t>
      </w:r>
      <w:r>
        <w:rPr>
          <w:sz w:val="24"/>
        </w:rPr>
        <w:t>）甲方不按照乙方提供的正确使用方法而引致设备故障损坏；</w:t>
      </w:r>
    </w:p>
    <w:p>
      <w:pPr>
        <w:pStyle w:val="null3"/>
      </w:pPr>
      <w:r>
        <w:rPr>
          <w:sz w:val="24"/>
        </w:rPr>
        <w:t>（</w:t>
      </w:r>
      <w:r>
        <w:rPr>
          <w:sz w:val="24"/>
        </w:rPr>
        <w:t>2</w:t>
      </w:r>
      <w:r>
        <w:rPr>
          <w:sz w:val="24"/>
        </w:rPr>
        <w:t>）擅自改装设备；</w:t>
      </w:r>
    </w:p>
    <w:p>
      <w:pPr>
        <w:pStyle w:val="null3"/>
      </w:pPr>
      <w:r>
        <w:rPr>
          <w:sz w:val="24"/>
        </w:rPr>
        <w:t>（</w:t>
      </w:r>
      <w:r>
        <w:rPr>
          <w:sz w:val="24"/>
        </w:rPr>
        <w:t>3</w:t>
      </w:r>
      <w:r>
        <w:rPr>
          <w:sz w:val="24"/>
        </w:rPr>
        <w:t>）各种人为因素或天灾等外来因素造成的损坏。</w:t>
      </w:r>
    </w:p>
    <w:p>
      <w:pPr>
        <w:pStyle w:val="null3"/>
      </w:pPr>
      <w:r>
        <w:rPr>
          <w:sz w:val="24"/>
        </w:rPr>
        <w:t>3.</w:t>
      </w:r>
      <w:r>
        <w:rPr>
          <w:sz w:val="24"/>
        </w:rPr>
        <w:t>货物交付使用后以书面形式承诺维修服务，实行终身维护：</w:t>
      </w:r>
    </w:p>
    <w:p>
      <w:pPr>
        <w:pStyle w:val="null3"/>
      </w:pPr>
      <w:r>
        <w:rPr>
          <w:sz w:val="24"/>
        </w:rPr>
        <w:t>4.</w:t>
      </w:r>
      <w:r>
        <w:rPr>
          <w:sz w:val="24"/>
        </w:rPr>
        <w:t>所有保修服务方式均为乙方上门保修，即由乙方派员到甲方设备使用现场维修，由此产生的一切费用均由乙方承担。</w:t>
      </w:r>
    </w:p>
    <w:p>
      <w:pPr>
        <w:pStyle w:val="null3"/>
      </w:pPr>
      <w:r>
        <w:rPr>
          <w:sz w:val="24"/>
        </w:rPr>
        <w:t>5.</w:t>
      </w:r>
      <w:r>
        <w:rPr>
          <w:sz w:val="24"/>
        </w:rPr>
        <w:t>因设备的质量问题而发生争议，由广东省或中山市质检部门进行质量鉴定。设备符合质量标准的，鉴定费用由甲方承担；设备不符合质量标准的，鉴定费用由乙方承担。如属于强检设备，乙方配合甲方完成；如需第三方进行性能检测，其检测费用由乙方负责。</w:t>
      </w:r>
    </w:p>
    <w:p>
      <w:pPr>
        <w:pStyle w:val="null3"/>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pPr>
      <w:r>
        <w:rPr>
          <w:sz w:val="24"/>
        </w:rPr>
        <w:t>7.</w:t>
      </w:r>
      <w:r>
        <w:rPr>
          <w:sz w:val="24"/>
        </w:rPr>
        <w:t>保修期内厂家每年免费回访设备至少</w:t>
      </w:r>
      <w:r>
        <w:rPr>
          <w:sz w:val="24"/>
        </w:rPr>
        <w:t>{</w:t>
      </w:r>
      <w:r>
        <w:rPr>
          <w:u w:val="single"/>
        </w:rPr>
        <w:t xml:space="preserve">      </w:t>
      </w:r>
      <w:r>
        <w:rPr>
          <w:sz w:val="24"/>
        </w:rPr>
        <w:t>}</w:t>
      </w:r>
      <w:r>
        <w:rPr>
          <w:sz w:val="24"/>
        </w:rPr>
        <w:t>次。</w:t>
      </w:r>
    </w:p>
    <w:p>
      <w:pPr>
        <w:pStyle w:val="null3"/>
      </w:pPr>
      <w:r>
        <w:rPr>
          <w:sz w:val="24"/>
        </w:rPr>
        <w:t>8.</w:t>
      </w:r>
      <w:r>
        <w:rPr>
          <w:sz w:val="24"/>
        </w:rPr>
        <w:t>接到报修电话后，厂家工程师</w:t>
      </w:r>
      <w:r>
        <w:rPr>
          <w:sz w:val="24"/>
        </w:rPr>
        <w:t>{</w:t>
      </w:r>
      <w:r>
        <w:rPr>
          <w:u w:val="single"/>
        </w:rPr>
        <w:t xml:space="preserve">      </w:t>
      </w:r>
      <w:r>
        <w:rPr>
          <w:sz w:val="24"/>
        </w:rPr>
        <w:t>}</w:t>
      </w:r>
      <w:r>
        <w:rPr>
          <w:sz w:val="24"/>
        </w:rPr>
        <w:t>小时内响应，</w:t>
      </w:r>
      <w:r>
        <w:rPr>
          <w:sz w:val="24"/>
        </w:rPr>
        <w:t>{</w:t>
      </w:r>
      <w:r>
        <w:rPr>
          <w:u w:val="single"/>
        </w:rPr>
        <w:t xml:space="preserve">      </w:t>
      </w:r>
      <w:r>
        <w:rPr>
          <w:sz w:val="24"/>
        </w:rPr>
        <w:t>}</w:t>
      </w:r>
      <w:r>
        <w:rPr>
          <w:sz w:val="24"/>
        </w:rPr>
        <w:t>小时到达现场，</w:t>
      </w:r>
      <w:r>
        <w:rPr>
          <w:sz w:val="24"/>
        </w:rPr>
        <w:t>{</w:t>
      </w:r>
      <w:r>
        <w:rPr>
          <w:u w:val="single"/>
        </w:rPr>
        <w:t xml:space="preserve">      </w:t>
      </w:r>
      <w:r>
        <w:rPr>
          <w:sz w:val="24"/>
        </w:rPr>
        <w:t>}</w:t>
      </w:r>
      <w:r>
        <w:rPr>
          <w:sz w:val="24"/>
        </w:rPr>
        <w:t>小时内解决问题。</w:t>
      </w:r>
    </w:p>
    <w:p>
      <w:pPr>
        <w:pStyle w:val="null3"/>
      </w:pPr>
      <w:r>
        <w:rPr>
          <w:sz w:val="24"/>
          <w:b/>
        </w:rPr>
        <w:t>第七条</w:t>
      </w:r>
      <w:r>
        <w:rPr>
          <w:b/>
        </w:rPr>
        <w:t xml:space="preserve"> </w:t>
      </w:r>
      <w:r>
        <w:rPr>
          <w:sz w:val="24"/>
          <w:b/>
        </w:rPr>
        <w:t>支付方式</w:t>
      </w:r>
    </w:p>
    <w:p>
      <w:pPr>
        <w:pStyle w:val="null3"/>
      </w:pPr>
      <w:r>
        <w:rPr>
          <w:sz w:val="24"/>
        </w:rPr>
        <w:t>{</w:t>
      </w:r>
      <w:r>
        <w:rPr>
          <w:sz w:val="24"/>
        </w:rPr>
        <w:t>支付方式</w:t>
      </w:r>
      <w:r>
        <w:rPr>
          <w:sz w:val="24"/>
        </w:rPr>
        <w:t>}</w:t>
      </w:r>
    </w:p>
    <w:p>
      <w:pPr>
        <w:pStyle w:val="null3"/>
      </w:pPr>
      <w:r>
        <w:rPr>
          <w:sz w:val="24"/>
          <w:b/>
        </w:rPr>
        <w:t>第八条</w:t>
      </w:r>
      <w:r>
        <w:rPr>
          <w:b/>
        </w:rPr>
        <w:t xml:space="preserve"> </w:t>
      </w:r>
      <w:r>
        <w:rPr>
          <w:sz w:val="24"/>
          <w:b/>
        </w:rPr>
        <w:t>技术服务</w:t>
      </w:r>
    </w:p>
    <w:p>
      <w:pPr>
        <w:pStyle w:val="null3"/>
      </w:pPr>
      <w:r>
        <w:rPr>
          <w:sz w:val="24"/>
        </w:rPr>
        <w:t>1.</w:t>
      </w:r>
      <w:r>
        <w:rPr>
          <w:sz w:val="24"/>
        </w:rPr>
        <w:t>乙方应派员到甲方指定地点配合工作。</w:t>
      </w:r>
    </w:p>
    <w:p>
      <w:pPr>
        <w:pStyle w:val="null3"/>
      </w:pPr>
      <w:r>
        <w:rPr>
          <w:sz w:val="24"/>
        </w:rPr>
        <w:t>2.</w:t>
      </w:r>
      <w:r>
        <w:rPr>
          <w:sz w:val="24"/>
        </w:rPr>
        <w:t>乙方按甲方提供的合同执行进度计划，再配合甲方及有关单位，以此做好合同执行进度上的配合工作。</w:t>
      </w:r>
    </w:p>
    <w:p>
      <w:pPr>
        <w:pStyle w:val="null3"/>
      </w:pPr>
      <w:r>
        <w:rPr>
          <w:sz w:val="24"/>
          <w:b/>
        </w:rPr>
        <w:t>第九条</w:t>
      </w:r>
      <w:r>
        <w:rPr>
          <w:b/>
        </w:rPr>
        <w:t xml:space="preserve"> </w:t>
      </w:r>
      <w:r>
        <w:rPr>
          <w:sz w:val="24"/>
          <w:b/>
        </w:rPr>
        <w:t>不可抗力</w:t>
      </w:r>
    </w:p>
    <w:p>
      <w:pPr>
        <w:pStyle w:val="null3"/>
      </w:pPr>
      <w:r>
        <w:rPr>
          <w:sz w:val="24"/>
        </w:rPr>
        <w:t>1.</w:t>
      </w:r>
      <w:r>
        <w:rPr>
          <w:sz w:val="24"/>
        </w:rPr>
        <w:t>合同任一方因不可抗力而导致合同实施延误或不能履行合同，在取得有关机构的不可抗力证明或双方谅解确认后，允许延期履行、修订合同或终止合同，并根据情况可部分或全部免于违约责任。</w:t>
      </w:r>
    </w:p>
    <w:p>
      <w:pPr>
        <w:pStyle w:val="null3"/>
      </w:pPr>
      <w:r>
        <w:rPr>
          <w:sz w:val="24"/>
        </w:rPr>
        <w:t>2.</w:t>
      </w:r>
      <w:r>
        <w:rPr>
          <w:sz w:val="24"/>
        </w:rPr>
        <w:t>不可抗力系指合同双方无法控制、不可预见的事件，但不包括合同某一方的违约或疏忽。这些事件包括但不限于：战争、严重火灾、洪水、台风、地震及其他双方商定的事件。</w:t>
      </w:r>
    </w:p>
    <w:p>
      <w:pPr>
        <w:pStyle w:val="null3"/>
      </w:pPr>
      <w:r>
        <w:rPr>
          <w:sz w:val="24"/>
        </w:rPr>
        <w:t>3.</w:t>
      </w:r>
      <w:r>
        <w:rPr>
          <w:sz w:val="24"/>
        </w:rPr>
        <w:t>在不可抗力事件发生后，合同双方应尽实际可能继续履行合同，以及寻求采取合理的方案履行不受不可抗力影响的其他事项。不可抗力事件影响消除后，甲乙双方可通过协商在合理的时间内达成进一步履行合同的协议。</w:t>
      </w:r>
    </w:p>
    <w:p>
      <w:pPr>
        <w:pStyle w:val="null3"/>
      </w:pPr>
      <w:r>
        <w:rPr>
          <w:sz w:val="24"/>
          <w:b/>
        </w:rPr>
        <w:t>第十条</w:t>
      </w:r>
      <w:r>
        <w:rPr>
          <w:b/>
        </w:rPr>
        <w:t xml:space="preserve"> </w:t>
      </w:r>
      <w:r>
        <w:rPr>
          <w:sz w:val="24"/>
          <w:b/>
        </w:rPr>
        <w:t>索赔</w:t>
      </w:r>
    </w:p>
    <w:p>
      <w:pPr>
        <w:pStyle w:val="null3"/>
      </w:pPr>
      <w:r>
        <w:rPr>
          <w:sz w:val="24"/>
        </w:rPr>
        <w:t>1.</w:t>
      </w:r>
      <w:r>
        <w:rPr>
          <w:sz w:val="24"/>
        </w:rPr>
        <w:t>如有异议，甲方有权根据有关政府部门的检验结果向乙方提出索赔。</w:t>
      </w:r>
    </w:p>
    <w:p>
      <w:pPr>
        <w:pStyle w:val="null3"/>
      </w:pPr>
      <w:r>
        <w:rPr>
          <w:sz w:val="24"/>
        </w:rPr>
        <w:t>2.</w:t>
      </w:r>
      <w:r>
        <w:rPr>
          <w:sz w:val="24"/>
        </w:rPr>
        <w:t>在合同执行期间，如果乙方对甲方提出的索赔和差异负有责任，乙方应按照甲方同意的下列一种或多种方式解决索赔事宜：</w:t>
      </w:r>
    </w:p>
    <w:p>
      <w:pPr>
        <w:pStyle w:val="null3"/>
      </w:pPr>
      <w:r>
        <w:rPr>
          <w:sz w:val="24"/>
        </w:rPr>
        <w:t>（</w:t>
      </w:r>
      <w:r>
        <w:rPr>
          <w:sz w:val="24"/>
        </w:rPr>
        <w:t>1</w:t>
      </w:r>
      <w:r>
        <w:rPr>
          <w:sz w:val="24"/>
        </w:rPr>
        <w:t>）乙方同意退货，并按合同规定的同种货币将货款退还给甲方，并承担由此发生的一切损失和费用。</w:t>
      </w:r>
    </w:p>
    <w:p>
      <w:pPr>
        <w:pStyle w:val="null3"/>
      </w:pPr>
      <w:r>
        <w:rPr>
          <w:sz w:val="24"/>
        </w:rPr>
        <w:t>（</w:t>
      </w:r>
      <w:r>
        <w:rPr>
          <w:sz w:val="24"/>
        </w:rPr>
        <w:t>2</w:t>
      </w:r>
      <w:r>
        <w:rPr>
          <w:sz w:val="24"/>
        </w:rPr>
        <w:t>）根据货物低劣程度、损坏程度以及甲方所遭受损失的数额甲乙双方商定降低货物的价格。</w:t>
      </w:r>
    </w:p>
    <w:p>
      <w:pPr>
        <w:pStyle w:val="null3"/>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pStyle w:val="null3"/>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pPr>
      <w:r>
        <w:rPr>
          <w:sz w:val="24"/>
          <w:b/>
        </w:rPr>
        <w:t>第十一条</w:t>
      </w:r>
      <w:r>
        <w:rPr>
          <w:b/>
        </w:rPr>
        <w:t xml:space="preserve"> </w:t>
      </w:r>
      <w:r>
        <w:rPr>
          <w:sz w:val="24"/>
          <w:b/>
        </w:rPr>
        <w:t>违约与处罚</w:t>
      </w:r>
    </w:p>
    <w:p>
      <w:pPr>
        <w:pStyle w:val="null3"/>
      </w:pPr>
      <w:r>
        <w:rPr>
          <w:sz w:val="24"/>
        </w:rPr>
        <w:t>1.</w:t>
      </w:r>
      <w:r>
        <w:rPr>
          <w:sz w:val="24"/>
        </w:rPr>
        <w:t>甲方应依合同规定时间内，向乙方支付货款，每拖延一天乙方可向甲方加收合同总额的</w:t>
      </w:r>
      <w:r>
        <w:rPr>
          <w:sz w:val="24"/>
        </w:rPr>
        <w:t>{</w:t>
      </w:r>
      <w:r>
        <w:rPr/>
        <w:t xml:space="preserve"> </w:t>
      </w:r>
      <w:r>
        <w:rPr>
          <w:sz w:val="24"/>
        </w:rPr>
        <w:t>}</w:t>
      </w:r>
      <w:r>
        <w:rPr>
          <w:sz w:val="24"/>
        </w:rPr>
        <w:t>‰的违约金。</w:t>
      </w:r>
    </w:p>
    <w:p>
      <w:pPr>
        <w:pStyle w:val="null3"/>
      </w:pPr>
      <w:r>
        <w:rPr>
          <w:sz w:val="24"/>
        </w:rPr>
        <w:t>2.</w:t>
      </w:r>
      <w:r>
        <w:rPr>
          <w:sz w:val="24"/>
        </w:rPr>
        <w:t>乙方未能按时交货，每拖延一天，须向甲方支付合同总额</w:t>
      </w:r>
      <w:r>
        <w:rPr>
          <w:sz w:val="24"/>
        </w:rPr>
        <w:t>{</w:t>
      </w:r>
      <w:r>
        <w:rPr/>
        <w:t xml:space="preserve"> </w:t>
      </w:r>
      <w:r>
        <w:rPr>
          <w:sz w:val="24"/>
        </w:rPr>
        <w:t>}</w:t>
      </w:r>
      <w:r>
        <w:rPr>
          <w:sz w:val="24"/>
        </w:rPr>
        <w:t>‰的违约金。</w:t>
      </w:r>
    </w:p>
    <w:p>
      <w:pPr>
        <w:pStyle w:val="null3"/>
      </w:pPr>
      <w:r>
        <w:rPr>
          <w:sz w:val="24"/>
        </w:rPr>
        <w:t>3.</w:t>
      </w:r>
      <w:r>
        <w:rPr>
          <w:sz w:val="24"/>
        </w:rPr>
        <w:t>乙方交付的货物不符合合同规定的，甲方有权拒收，乙方向甲方支付合同总额</w:t>
      </w:r>
      <w:r>
        <w:rPr>
          <w:sz w:val="24"/>
        </w:rPr>
        <w:t>10</w:t>
      </w:r>
      <w:r>
        <w:rPr>
          <w:sz w:val="24"/>
        </w:rPr>
        <w:t>％的违约金。</w:t>
      </w:r>
    </w:p>
    <w:p>
      <w:pPr>
        <w:pStyle w:val="null3"/>
      </w:pPr>
      <w:r>
        <w:rPr>
          <w:sz w:val="24"/>
        </w:rPr>
        <w:t>4.</w:t>
      </w:r>
      <w:r>
        <w:rPr>
          <w:sz w:val="24"/>
        </w:rPr>
        <w:t>甲方无正当理由拒收货物的，甲方向乙方支付合同总额</w:t>
      </w:r>
      <w:r>
        <w:rPr>
          <w:sz w:val="24"/>
        </w:rPr>
        <w:t>10</w:t>
      </w:r>
      <w:r>
        <w:rPr>
          <w:sz w:val="24"/>
        </w:rPr>
        <w:t>％的违约金。</w:t>
      </w:r>
    </w:p>
    <w:p>
      <w:pPr>
        <w:pStyle w:val="null3"/>
      </w:pPr>
      <w:r>
        <w:rPr>
          <w:sz w:val="24"/>
        </w:rPr>
        <w:t>5.</w:t>
      </w:r>
      <w:r>
        <w:rPr>
          <w:sz w:val="24"/>
        </w:rPr>
        <w:t>乙方未能交付货物，则向甲方支付合同总额</w:t>
      </w:r>
      <w:r>
        <w:rPr>
          <w:sz w:val="24"/>
        </w:rPr>
        <w:t>10</w:t>
      </w:r>
      <w:r>
        <w:rPr>
          <w:sz w:val="24"/>
        </w:rPr>
        <w:t>％的违约金。</w:t>
      </w:r>
    </w:p>
    <w:p>
      <w:pPr>
        <w:pStyle w:val="null3"/>
      </w:pPr>
      <w:r>
        <w:rPr>
          <w:sz w:val="24"/>
          <w:b/>
        </w:rPr>
        <w:t>第十二条</w:t>
      </w:r>
      <w:r>
        <w:rPr>
          <w:b/>
        </w:rPr>
        <w:t xml:space="preserve"> </w:t>
      </w:r>
      <w:r>
        <w:rPr>
          <w:sz w:val="24"/>
          <w:b/>
        </w:rPr>
        <w:t>合同终止</w:t>
      </w:r>
    </w:p>
    <w:p>
      <w:pPr>
        <w:pStyle w:val="null3"/>
      </w:pPr>
      <w:r>
        <w:rPr>
          <w:sz w:val="24"/>
        </w:rPr>
        <w:t>如果一方严重违反合同，并在收到对方违约通知书后在</w:t>
      </w:r>
      <w:r>
        <w:rPr>
          <w:sz w:val="24"/>
        </w:rPr>
        <w:t>30</w:t>
      </w:r>
      <w:r>
        <w:rPr>
          <w:sz w:val="24"/>
        </w:rPr>
        <w:t>天内仍未能改正违约的，另一方可立即终止本合同。</w:t>
      </w:r>
    </w:p>
    <w:p>
      <w:pPr>
        <w:pStyle w:val="null3"/>
      </w:pPr>
      <w:r>
        <w:rPr>
          <w:sz w:val="24"/>
          <w:b/>
        </w:rPr>
        <w:t>第十三条</w:t>
      </w:r>
      <w:r>
        <w:rPr>
          <w:b/>
        </w:rPr>
        <w:t xml:space="preserve"> </w:t>
      </w:r>
      <w:r>
        <w:rPr>
          <w:sz w:val="24"/>
          <w:b/>
        </w:rPr>
        <w:t>法律诉讼</w:t>
      </w:r>
    </w:p>
    <w:p>
      <w:pPr>
        <w:pStyle w:val="null3"/>
      </w:pPr>
      <w:r>
        <w:rPr>
          <w:sz w:val="24"/>
        </w:rPr>
        <w:t>签约双方在履约中发生争执和分歧，双方应通过友好协商解决，若经协商不能达成协议时，则向甲方所在地有管辖权的人民法院提起诉讼。受理期间，双方应继续执行合同其余部分。</w:t>
      </w:r>
    </w:p>
    <w:p>
      <w:pPr>
        <w:pStyle w:val="null3"/>
      </w:pPr>
      <w:r>
        <w:rPr>
          <w:sz w:val="24"/>
          <w:b/>
        </w:rPr>
        <w:t>第十四条</w:t>
      </w:r>
      <w:r>
        <w:rPr>
          <w:b/>
        </w:rPr>
        <w:t xml:space="preserve"> </w:t>
      </w:r>
      <w:r>
        <w:rPr>
          <w:sz w:val="24"/>
          <w:b/>
        </w:rPr>
        <w:t>其它</w:t>
      </w:r>
    </w:p>
    <w:p>
      <w:pPr>
        <w:pStyle w:val="null3"/>
      </w:pPr>
      <w:r>
        <w:rPr>
          <w:sz w:val="24"/>
        </w:rPr>
        <w:t>1.</w:t>
      </w:r>
      <w:r>
        <w:rPr>
          <w:sz w:val="24"/>
        </w:rPr>
        <w:t>本合同正本</w:t>
      </w:r>
      <w:r>
        <w:rPr>
          <w:sz w:val="24"/>
        </w:rPr>
        <w:t>{</w:t>
      </w:r>
      <w:r>
        <w:rPr>
          <w:u w:val="single"/>
        </w:rPr>
        <w:t xml:space="preserve">      </w:t>
      </w:r>
      <w:r>
        <w:rPr>
          <w:sz w:val="24"/>
        </w:rPr>
        <w:t>}</w:t>
      </w:r>
      <w:r>
        <w:rPr>
          <w:sz w:val="24"/>
        </w:rPr>
        <w:t>份，具有同等法律效力，甲方执</w:t>
      </w:r>
      <w:r>
        <w:rPr>
          <w:sz w:val="24"/>
        </w:rPr>
        <w:t>{</w:t>
      </w:r>
      <w:r>
        <w:rPr>
          <w:u w:val="single"/>
        </w:rPr>
        <w:t xml:space="preserve">      </w:t>
      </w:r>
      <w:r>
        <w:rPr>
          <w:sz w:val="24"/>
        </w:rPr>
        <w:t>}</w:t>
      </w:r>
      <w:r>
        <w:rPr>
          <w:sz w:val="24"/>
        </w:rPr>
        <w:t>份、乙方执</w:t>
      </w:r>
      <w:r>
        <w:rPr>
          <w:sz w:val="24"/>
        </w:rPr>
        <w:t xml:space="preserve">  </w:t>
      </w:r>
      <w:r>
        <w:rPr>
          <w:sz w:val="24"/>
        </w:rPr>
        <w:t>{</w:t>
      </w:r>
      <w:r>
        <w:rPr>
          <w:u w:val="single"/>
        </w:rPr>
        <w:t xml:space="preserve">      </w:t>
      </w:r>
      <w:r>
        <w:rPr>
          <w:sz w:val="24"/>
        </w:rPr>
        <w:t xml:space="preserve">} </w:t>
      </w:r>
      <w:r>
        <w:rPr>
          <w:sz w:val="24"/>
        </w:rPr>
        <w:t>份，招标代理机构</w:t>
      </w:r>
      <w:r>
        <w:rPr>
          <w:sz w:val="24"/>
        </w:rPr>
        <w:t>{</w:t>
      </w:r>
      <w:r>
        <w:rPr>
          <w:u w:val="single"/>
        </w:rPr>
        <w:t xml:space="preserve">      </w:t>
      </w:r>
      <w:r>
        <w:rPr>
          <w:sz w:val="24"/>
        </w:rPr>
        <w:t>}</w:t>
      </w:r>
      <w:r>
        <w:rPr>
          <w:sz w:val="24"/>
        </w:rPr>
        <w:t>份，中山市公共资源交易中心</w:t>
      </w:r>
      <w:r>
        <w:rPr>
          <w:sz w:val="24"/>
        </w:rPr>
        <w:t>{</w:t>
      </w:r>
      <w:r>
        <w:rPr>
          <w:u w:val="single"/>
        </w:rPr>
        <w:t xml:space="preserve">      </w:t>
      </w:r>
      <w:r>
        <w:rPr>
          <w:sz w:val="24"/>
        </w:rPr>
        <w:t>}</w:t>
      </w:r>
      <w:r>
        <w:rPr>
          <w:sz w:val="24"/>
        </w:rPr>
        <w:t>份。合同自签字之日起即时生效。</w:t>
      </w:r>
    </w:p>
    <w:p>
      <w:pPr>
        <w:pStyle w:val="null3"/>
      </w:pPr>
      <w:r>
        <w:rPr>
          <w:sz w:val="24"/>
        </w:rPr>
        <w:t>2.</w:t>
      </w:r>
      <w:r>
        <w:rPr>
          <w:sz w:val="24"/>
        </w:rPr>
        <w:t>本合同未尽事宜，由双方协商处理。</w:t>
      </w:r>
    </w:p>
    <w:p>
      <w:pPr>
        <w:pStyle w:val="null3"/>
      </w:pPr>
      <w:r>
        <w:rPr>
          <w:sz w:val="24"/>
          <w:b/>
        </w:rPr>
        <w:t>第十五条</w:t>
      </w:r>
      <w:r>
        <w:rPr>
          <w:b/>
        </w:rPr>
        <w:t xml:space="preserve"> </w:t>
      </w:r>
      <w:r>
        <w:rPr>
          <w:sz w:val="24"/>
          <w:b/>
        </w:rPr>
        <w:t>双方需要另外补充说明的其他事项</w:t>
      </w:r>
    </w:p>
    <w:p>
      <w:pPr>
        <w:pStyle w:val="null3"/>
      </w:pPr>
      <w:r>
        <w:rPr>
          <w:sz w:val="24"/>
        </w:rPr>
        <w:t>{/}</w:t>
      </w:r>
      <w:r>
        <w:rPr>
          <w:sz w:val="24"/>
        </w:rPr>
        <w:t>。</w:t>
      </w:r>
    </w:p>
    <w:p>
      <w:pPr>
        <w:pStyle w:val="null3"/>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2"/>
        <w:gridCol w:w="4192"/>
      </w:tblGrid>
      <w:tr>
        <w:tc>
          <w:tcPr>
            <w:tcW w:type="dxa" w:w="41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甲方：中山市人民医院</w:t>
            </w:r>
          </w:p>
          <w:p>
            <w:pPr>
              <w:pStyle w:val="null3"/>
            </w:pPr>
          </w:p>
        </w:tc>
        <w:tc>
          <w:tcPr>
            <w:tcW w:type="dxa" w:w="41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w:t>
            </w:r>
            <w:r>
              <w:rPr>
                <w:sz w:val="24"/>
              </w:rPr>
              <w:t>乙方全称</w:t>
            </w:r>
            <w:r>
              <w:rPr>
                <w:sz w:val="24"/>
              </w:rPr>
              <w:t>}</w:t>
            </w:r>
          </w:p>
          <w:p>
            <w:pPr>
              <w:pStyle w:val="null3"/>
            </w:pPr>
          </w:p>
        </w:tc>
      </w:tr>
      <w:tr>
        <w:tc>
          <w:tcPr>
            <w:tcW w:type="dxa" w:w="41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法定代表人或授权委托人：</w:t>
            </w:r>
          </w:p>
          <w:p>
            <w:pPr>
              <w:pStyle w:val="null3"/>
            </w:pPr>
          </w:p>
        </w:tc>
        <w:tc>
          <w:tcPr>
            <w:tcW w:type="dxa" w:w="41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法定代表人或授权委托人：</w:t>
            </w:r>
          </w:p>
          <w:p>
            <w:pPr>
              <w:pStyle w:val="null3"/>
            </w:pPr>
          </w:p>
        </w:tc>
      </w:tr>
      <w:tr>
        <w:tc>
          <w:tcPr>
            <w:tcW w:type="dxa" w:w="41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地址：广东省中山市孙文东路</w:t>
            </w:r>
            <w:r>
              <w:rPr>
                <w:sz w:val="24"/>
              </w:rPr>
              <w:t>2</w:t>
            </w:r>
            <w:r>
              <w:rPr>
                <w:sz w:val="24"/>
              </w:rPr>
              <w:t>号</w:t>
            </w:r>
          </w:p>
        </w:tc>
        <w:tc>
          <w:tcPr>
            <w:tcW w:type="dxa" w:w="41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r>
              <w:rPr>
                <w:sz w:val="24"/>
              </w:rPr>
              <w:t>{</w:t>
            </w:r>
            <w:r>
              <w:rPr>
                <w:sz w:val="24"/>
              </w:rPr>
              <w:t>乙方地址</w:t>
            </w:r>
            <w:r>
              <w:rPr>
                <w:sz w:val="24"/>
              </w:rPr>
              <w:t>}</w:t>
            </w:r>
          </w:p>
        </w:tc>
      </w:tr>
      <w:tr>
        <w:tc>
          <w:tcPr>
            <w:tcW w:type="dxa" w:w="41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0760-88823566</w:t>
            </w:r>
          </w:p>
          <w:p>
            <w:pPr>
              <w:pStyle w:val="null3"/>
            </w:pPr>
            <w:r>
              <w:rPr>
                <w:sz w:val="24"/>
              </w:rPr>
              <w:t>开户名称：中山市人民医院</w:t>
            </w:r>
          </w:p>
          <w:p>
            <w:pPr>
              <w:pStyle w:val="null3"/>
            </w:pPr>
            <w:r>
              <w:rPr>
                <w:sz w:val="24"/>
              </w:rPr>
              <w:t>银行账户：</w:t>
            </w:r>
            <w:r>
              <w:rPr>
                <w:sz w:val="24"/>
              </w:rPr>
              <w:t>1380 2151 6010 0082 27</w:t>
            </w:r>
          </w:p>
          <w:p>
            <w:pPr>
              <w:pStyle w:val="null3"/>
            </w:pPr>
            <w:r>
              <w:rPr>
                <w:sz w:val="24"/>
              </w:rPr>
              <w:t>开户银行：广发银行股份有限公司中山分行</w:t>
            </w:r>
          </w:p>
          <w:p>
            <w:pPr>
              <w:pStyle w:val="null3"/>
            </w:pPr>
          </w:p>
        </w:tc>
        <w:tc>
          <w:tcPr>
            <w:tcW w:type="dxa" w:w="41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w:t>
            </w:r>
            <w:r>
              <w:rPr>
                <w:sz w:val="24"/>
              </w:rPr>
              <w:t>乙方固话</w:t>
            </w:r>
            <w:r>
              <w:rPr>
                <w:sz w:val="24"/>
              </w:rPr>
              <w:t>+</w:t>
            </w:r>
            <w:r>
              <w:rPr>
                <w:sz w:val="24"/>
              </w:rPr>
              <w:t>手机号</w:t>
            </w:r>
            <w:r>
              <w:rPr>
                <w:sz w:val="24"/>
              </w:rPr>
              <w:t>}</w:t>
            </w:r>
          </w:p>
          <w:p>
            <w:pPr>
              <w:pStyle w:val="null3"/>
            </w:pPr>
            <w:r>
              <w:rPr>
                <w:sz w:val="24"/>
              </w:rPr>
              <w:t>开户名称：</w:t>
            </w:r>
            <w:r>
              <w:rPr>
                <w:sz w:val="24"/>
              </w:rPr>
              <w:t>{</w:t>
            </w:r>
            <w:r>
              <w:rPr>
                <w:sz w:val="24"/>
              </w:rPr>
              <w:t>乙方开户名称</w:t>
            </w:r>
            <w:r>
              <w:rPr>
                <w:sz w:val="24"/>
              </w:rPr>
              <w:t>}</w:t>
            </w:r>
          </w:p>
          <w:p>
            <w:pPr>
              <w:pStyle w:val="null3"/>
            </w:pPr>
            <w:r>
              <w:rPr>
                <w:sz w:val="24"/>
              </w:rPr>
              <w:t>银行账户：</w:t>
            </w:r>
            <w:r>
              <w:rPr>
                <w:sz w:val="24"/>
              </w:rPr>
              <w:t>{</w:t>
            </w:r>
            <w:r>
              <w:rPr>
                <w:sz w:val="24"/>
              </w:rPr>
              <w:t>乙方银行账户</w:t>
            </w:r>
            <w:r>
              <w:rPr>
                <w:sz w:val="24"/>
              </w:rPr>
              <w:t>}</w:t>
            </w:r>
          </w:p>
          <w:p>
            <w:pPr>
              <w:pStyle w:val="null3"/>
            </w:pPr>
            <w:r>
              <w:rPr>
                <w:sz w:val="24"/>
              </w:rPr>
              <w:t>开户银行：</w:t>
            </w:r>
            <w:r>
              <w:rPr>
                <w:sz w:val="24"/>
              </w:rPr>
              <w:t>{</w:t>
            </w:r>
            <w:r>
              <w:rPr>
                <w:sz w:val="24"/>
              </w:rPr>
              <w:t>乙方开户银行</w:t>
            </w:r>
            <w:r>
              <w:rPr>
                <w:sz w:val="24"/>
              </w:rPr>
              <w:t>}</w:t>
            </w:r>
          </w:p>
          <w:p>
            <w:pPr>
              <w:pStyle w:val="null3"/>
            </w:pPr>
            <w:r>
              <w:rPr>
                <w:sz w:val="24"/>
              </w:rPr>
              <w:t>联行号：</w:t>
            </w:r>
            <w:r>
              <w:rPr>
                <w:sz w:val="24"/>
              </w:rPr>
              <w:t>{</w:t>
            </w:r>
            <w:r>
              <w:rPr>
                <w:sz w:val="24"/>
              </w:rPr>
              <w:t>乙方联行号</w:t>
            </w:r>
            <w:r>
              <w:rPr>
                <w:sz w:val="24"/>
              </w:rPr>
              <w:t>}</w:t>
            </w:r>
          </w:p>
          <w:p>
            <w:pPr>
              <w:pStyle w:val="null3"/>
            </w:pPr>
          </w:p>
        </w:tc>
      </w:tr>
      <w:tr>
        <w:tc>
          <w:tcPr>
            <w:tcW w:type="dxa" w:w="41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签订日期：</w:t>
            </w:r>
            <w:r>
              <w:rPr>
                <w:sz w:val="19"/>
              </w:rPr>
              <w:t xml:space="preserve">    </w:t>
            </w:r>
            <w:r>
              <w:rPr>
                <w:sz w:val="24"/>
              </w:rPr>
              <w:t>年</w:t>
            </w:r>
            <w:r>
              <w:rPr>
                <w:sz w:val="19"/>
              </w:rPr>
              <w:t xml:space="preserve">   </w:t>
            </w:r>
            <w:r>
              <w:rPr>
                <w:sz w:val="24"/>
              </w:rPr>
              <w:t>月</w:t>
            </w:r>
            <w:r>
              <w:rPr>
                <w:sz w:val="19"/>
              </w:rPr>
              <w:t xml:space="preserve">   </w:t>
            </w:r>
            <w:r>
              <w:rPr>
                <w:sz w:val="24"/>
              </w:rPr>
              <w:t>日</w:t>
            </w:r>
            <w:r>
              <w:rPr>
                <w:sz w:val="19"/>
              </w:rPr>
              <w:t xml:space="preserve"> </w:t>
            </w:r>
          </w:p>
        </w:tc>
        <w:tc>
          <w:tcPr>
            <w:tcW w:type="dxa" w:w="41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签订日期：</w:t>
            </w:r>
            <w:r>
              <w:rPr>
                <w:sz w:val="19"/>
              </w:rPr>
              <w:t xml:space="preserve">    </w:t>
            </w:r>
            <w:r>
              <w:rPr>
                <w:sz w:val="24"/>
              </w:rPr>
              <w:t>年</w:t>
            </w:r>
            <w:r>
              <w:rPr>
                <w:sz w:val="19"/>
              </w:rPr>
              <w:t xml:space="preserve">   </w:t>
            </w:r>
            <w:r>
              <w:rPr>
                <w:sz w:val="24"/>
              </w:rPr>
              <w:t>月</w:t>
            </w:r>
            <w:r>
              <w:rPr>
                <w:sz w:val="19"/>
              </w:rPr>
              <w:t xml:space="preserve">   </w:t>
            </w:r>
            <w:r>
              <w:rPr>
                <w:sz w:val="24"/>
              </w:rPr>
              <w:t>日</w:t>
            </w:r>
            <w:r>
              <w:rPr>
                <w:sz w:val="19"/>
              </w:rPr>
              <w:t xml:space="preserve"> </w:t>
            </w:r>
          </w:p>
          <w:p>
            <w:pPr>
              <w:pStyle w:val="null3"/>
            </w:pPr>
          </w:p>
        </w:tc>
      </w:tr>
    </w:tbl>
    <w:p>
      <w:pPr>
        <w:pStyle w:val="null3"/>
      </w:pPr>
      <w:r>
        <w:rPr>
          <w:sz w:val="24"/>
        </w:rPr>
        <w:t>设备采购明细如下：（设备品种多可以增加）</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38"/>
        <w:gridCol w:w="1102"/>
        <w:gridCol w:w="1077"/>
        <w:gridCol w:w="648"/>
        <w:gridCol w:w="673"/>
        <w:gridCol w:w="1127"/>
        <w:gridCol w:w="1163"/>
        <w:gridCol w:w="673"/>
      </w:tblGrid>
      <w:tr>
        <w:tc>
          <w:tcPr>
            <w:tcW w:type="dxa" w:w="1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r>
              <w:rPr>
                <w:sz w:val="24"/>
                <w:b/>
              </w:rPr>
              <w:t>/</w:t>
            </w:r>
            <w:r>
              <w:rPr>
                <w:sz w:val="24"/>
                <w:b/>
              </w:rPr>
              <w:t>品牌</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总价（元）</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pPr>
      <w:r>
        <w:rPr/>
        <w:t xml:space="preserve">                                                                                      </w:t>
      </w:r>
    </w:p>
    <w:p>
      <w:pPr>
        <w:pStyle w:val="null3"/>
      </w:pPr>
      <w:r>
        <w:rPr>
          <w:sz w:val="24"/>
        </w:rPr>
        <w:t>设备配置清单如下：</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442000-2026-02914</w:t>
      </w:r>
    </w:p>
    <w:p>
      <w:pPr>
        <w:pStyle w:val="null3"/>
        <w:jc w:val="center"/>
        <w:outlineLvl w:val="3"/>
      </w:pPr>
      <w:r>
        <w:rPr>
          <w:sz w:val="24"/>
          <w:b/>
        </w:rPr>
        <w:t>采购项目编号：</w:t>
      </w:r>
      <w:r>
        <w:rPr>
          <w:sz w:val="24"/>
          <w:b/>
        </w:rPr>
        <w:t>442000-2026-02914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中山市人民医院手术监护仪及便携转运监护仪采购项目</w:t>
      </w:r>
      <w:r>
        <w:rPr>
          <w:u w:val="single"/>
        </w:rPr>
        <w:t>”</w:t>
      </w:r>
      <w:r>
        <w:rPr/>
        <w:t>项目的招标[采购项目编号为：</w:t>
      </w:r>
      <w:r>
        <w:rPr>
          <w:u w:val="single"/>
        </w:rPr>
        <w:t>442000-2026-02914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中山市人民医院手术监护仪及便携转运监护仪采购项目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中山市人民医院手术监护仪及便携转运监护仪采购项目</w:t>
      </w:r>
      <w:r>
        <w:rPr/>
        <w:t>”项目采购[采购项目编号为</w:t>
      </w:r>
      <w:r>
        <w:rPr/>
        <w:t>442000-2026-02914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中山市人民医院手术监护仪及便携转运监护仪采购项目</w:t>
      </w:r>
      <w:r>
        <w:rPr/>
        <w:t>招标中获中标（采购项目编号：</w:t>
      </w:r>
      <w:r>
        <w:rPr/>
        <w:t>442000-2026-02914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中山市人民医院手术监护仪及便携转运监护仪采购项目</w:t>
      </w:r>
      <w:r>
        <w:rPr/>
        <w:t>”项目（采购项目编号：</w:t>
      </w:r>
      <w:r>
        <w:rPr/>
        <w:t>442000-2026-02914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